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1B52" w14:textId="77777777" w:rsidR="00E77AFA" w:rsidRDefault="00E77AFA" w:rsidP="00170EC7">
      <w:pPr>
        <w:spacing w:after="80" w:line="360" w:lineRule="auto"/>
        <w:jc w:val="center"/>
        <w:rPr>
          <w:b/>
          <w:caps/>
          <w:sz w:val="24"/>
          <w:szCs w:val="24"/>
        </w:rPr>
      </w:pPr>
    </w:p>
    <w:p w14:paraId="6CCD0E20" w14:textId="77777777" w:rsidR="00776923" w:rsidRPr="00E92E32" w:rsidRDefault="003A534E" w:rsidP="00170EC7">
      <w:pPr>
        <w:spacing w:after="80" w:line="360" w:lineRule="auto"/>
        <w:jc w:val="center"/>
        <w:rPr>
          <w:b/>
          <w:caps/>
          <w:sz w:val="24"/>
          <w:szCs w:val="24"/>
        </w:rPr>
      </w:pPr>
      <w:r>
        <w:rPr>
          <w:b/>
          <w:caps/>
          <w:sz w:val="24"/>
          <w:szCs w:val="24"/>
        </w:rPr>
        <w:t>TÉM</w:t>
      </w:r>
      <w:r w:rsidR="00FA0032">
        <w:rPr>
          <w:b/>
          <w:caps/>
          <w:sz w:val="24"/>
          <w:szCs w:val="24"/>
        </w:rPr>
        <w:t>Y</w:t>
      </w:r>
      <w:r>
        <w:rPr>
          <w:b/>
          <w:caps/>
          <w:sz w:val="24"/>
          <w:szCs w:val="24"/>
        </w:rPr>
        <w:t xml:space="preserve"> </w:t>
      </w:r>
      <w:r w:rsidR="00927D15" w:rsidRPr="00927D15">
        <w:rPr>
          <w:b/>
          <w:caps/>
          <w:sz w:val="24"/>
          <w:szCs w:val="24"/>
        </w:rPr>
        <w:t xml:space="preserve"> </w:t>
      </w:r>
      <w:r w:rsidR="00FC17C4">
        <w:rPr>
          <w:b/>
          <w:caps/>
          <w:sz w:val="24"/>
          <w:szCs w:val="24"/>
        </w:rPr>
        <w:t>rigoróznych</w:t>
      </w:r>
      <w:r w:rsidR="00927D15" w:rsidRPr="00927D15">
        <w:rPr>
          <w:b/>
          <w:caps/>
          <w:sz w:val="24"/>
          <w:szCs w:val="24"/>
        </w:rPr>
        <w:t xml:space="preserve"> PRÁC</w:t>
      </w:r>
      <w:r w:rsidR="00FA0032">
        <w:rPr>
          <w:b/>
          <w:caps/>
          <w:sz w:val="24"/>
          <w:szCs w:val="24"/>
        </w:rPr>
        <w:t xml:space="preserve"> </w:t>
      </w:r>
    </w:p>
    <w:p w14:paraId="11A3D82A" w14:textId="77777777" w:rsidR="00FA0032" w:rsidRPr="00B24A44" w:rsidRDefault="00FA0032" w:rsidP="00170EC7">
      <w:pPr>
        <w:spacing w:after="80" w:line="360" w:lineRule="auto"/>
        <w:rPr>
          <w:sz w:val="24"/>
          <w:szCs w:val="24"/>
        </w:rPr>
      </w:pPr>
    </w:p>
    <w:p w14:paraId="55A88485" w14:textId="1B8E1B60" w:rsidR="00FA0032" w:rsidRPr="00B24A44" w:rsidRDefault="00FA0032" w:rsidP="00170EC7">
      <w:pPr>
        <w:spacing w:after="80" w:line="360" w:lineRule="auto"/>
        <w:rPr>
          <w:sz w:val="28"/>
          <w:szCs w:val="26"/>
        </w:rPr>
      </w:pPr>
      <w:r w:rsidRPr="00B24A44">
        <w:rPr>
          <w:sz w:val="28"/>
          <w:szCs w:val="26"/>
        </w:rPr>
        <w:t>So súhlasom predsedu rigoróznej komisie je možné si zvoliť i vlastnú tému!</w:t>
      </w:r>
    </w:p>
    <w:p w14:paraId="35BCF829" w14:textId="6F2EF8D8" w:rsidR="00B24A44" w:rsidRPr="00B24A44" w:rsidRDefault="00B24A44" w:rsidP="00B24A44">
      <w:pPr>
        <w:spacing w:after="80" w:line="276" w:lineRule="auto"/>
        <w:rPr>
          <w:i/>
          <w:sz w:val="24"/>
          <w:szCs w:val="26"/>
        </w:rPr>
      </w:pPr>
      <w:r w:rsidRPr="00B24A44">
        <w:rPr>
          <w:i/>
          <w:sz w:val="24"/>
          <w:szCs w:val="26"/>
        </w:rPr>
        <w:t>Záujemca o rigorózne konanie, v prípade ak má záujem zvoliť si vlastnú tému, môže konzultovať túto tému s vedúcim Katedry MEP</w:t>
      </w:r>
      <w:r>
        <w:rPr>
          <w:i/>
          <w:sz w:val="24"/>
          <w:szCs w:val="26"/>
        </w:rPr>
        <w:t xml:space="preserve">, osobne alebo prostredníctvom mailu: </w:t>
      </w:r>
      <w:r w:rsidRPr="00B24A44">
        <w:rPr>
          <w:i/>
          <w:sz w:val="24"/>
          <w:szCs w:val="26"/>
        </w:rPr>
        <w:t xml:space="preserve"> elena.judova@umb.sk</w:t>
      </w:r>
    </w:p>
    <w:p w14:paraId="3CF0C42C" w14:textId="77777777" w:rsidR="00E92E32" w:rsidRDefault="00E92E32" w:rsidP="00170EC7">
      <w:pPr>
        <w:shd w:val="clear" w:color="auto" w:fill="FFFFFF"/>
        <w:spacing w:after="80" w:line="360" w:lineRule="auto"/>
        <w:rPr>
          <w:b/>
          <w:bCs/>
          <w:color w:val="000000"/>
          <w:spacing w:val="-13"/>
          <w:sz w:val="28"/>
          <w:szCs w:val="28"/>
          <w:u w:val="single"/>
        </w:rPr>
      </w:pPr>
    </w:p>
    <w:p w14:paraId="7B9CDA9C" w14:textId="2DDE1DF5" w:rsidR="00170EC7" w:rsidRPr="00170EC7" w:rsidRDefault="00170EC7" w:rsidP="00170EC7">
      <w:pPr>
        <w:shd w:val="clear" w:color="auto" w:fill="FFFFFF"/>
        <w:spacing w:after="80" w:line="360" w:lineRule="auto"/>
        <w:rPr>
          <w:bCs/>
          <w:color w:val="000000"/>
          <w:spacing w:val="-13"/>
          <w:sz w:val="24"/>
          <w:szCs w:val="28"/>
          <w:u w:val="single"/>
        </w:rPr>
      </w:pPr>
      <w:r w:rsidRPr="00170EC7">
        <w:rPr>
          <w:bCs/>
          <w:color w:val="000000"/>
          <w:spacing w:val="-13"/>
          <w:sz w:val="24"/>
          <w:szCs w:val="28"/>
          <w:u w:val="single"/>
        </w:rPr>
        <w:t>Medzinárodné právo súkromné a právo medzinárodného obchodu</w:t>
      </w:r>
    </w:p>
    <w:p w14:paraId="7BA2AE5D" w14:textId="77777777" w:rsidR="00B232BB" w:rsidRPr="00126B5D" w:rsidRDefault="001C4024" w:rsidP="00170EC7">
      <w:pPr>
        <w:pStyle w:val="Odsekzoznamu"/>
        <w:numPr>
          <w:ilvl w:val="0"/>
          <w:numId w:val="8"/>
        </w:numPr>
        <w:shd w:val="clear" w:color="auto" w:fill="FFFFFF"/>
        <w:spacing w:after="80" w:line="360" w:lineRule="auto"/>
        <w:ind w:left="709"/>
        <w:jc w:val="both"/>
        <w:rPr>
          <w:b/>
          <w:bCs/>
          <w:spacing w:val="-13"/>
          <w:sz w:val="24"/>
          <w:szCs w:val="24"/>
        </w:rPr>
      </w:pPr>
      <w:r w:rsidRPr="00126B5D">
        <w:rPr>
          <w:b/>
          <w:bCs/>
          <w:spacing w:val="-13"/>
          <w:sz w:val="24"/>
          <w:szCs w:val="24"/>
        </w:rPr>
        <w:t>Nehnuteľný majetok nachádzajúci sa v zahraničí v dedičskom konaní.</w:t>
      </w:r>
      <w:r w:rsidR="00B232BB" w:rsidRPr="00126B5D">
        <w:rPr>
          <w:b/>
          <w:bCs/>
          <w:spacing w:val="-13"/>
          <w:sz w:val="24"/>
          <w:szCs w:val="24"/>
        </w:rPr>
        <w:t xml:space="preserve"> </w:t>
      </w:r>
    </w:p>
    <w:p w14:paraId="2B081295" w14:textId="77777777" w:rsidR="00FA0032" w:rsidRPr="005D2B49" w:rsidRDefault="001477A8" w:rsidP="00170EC7">
      <w:pPr>
        <w:shd w:val="clear" w:color="auto" w:fill="FFFFFF"/>
        <w:spacing w:after="80"/>
        <w:ind w:left="426" w:firstLine="282"/>
        <w:jc w:val="both"/>
        <w:rPr>
          <w:bCs/>
          <w:i/>
          <w:spacing w:val="-13"/>
          <w:szCs w:val="24"/>
        </w:rPr>
      </w:pPr>
      <w:r w:rsidRPr="005D2B49">
        <w:rPr>
          <w:bCs/>
          <w:i/>
          <w:spacing w:val="-13"/>
          <w:szCs w:val="24"/>
        </w:rPr>
        <w:t xml:space="preserve">Nehnuteľnosti spravidla nepodliehajú jurisdikcii cudzieho súdu. Aby bolo zabezpečené že rozhodnutie cudzieho súdu nebude mať účinok na území kde sa nehnuteľnosť nachádza, právomoc v otázkach prevodu a prechodu vecných (vrátane vlastníckeho práva) k nehnuteľnostiam býva koncipovaná ako výlučná právomoc, čo zabraňuje uznaniu cudzích rozhodnutí v týchto veciach (viď § 37d a § 45 ods.1 písm. c/ v spojitosti s § 64 písm. a/ slovenského </w:t>
      </w:r>
      <w:proofErr w:type="spellStart"/>
      <w:r w:rsidRPr="005D2B49">
        <w:rPr>
          <w:bCs/>
          <w:i/>
          <w:spacing w:val="-13"/>
          <w:szCs w:val="24"/>
        </w:rPr>
        <w:t>ZMPSaP</w:t>
      </w:r>
      <w:proofErr w:type="spellEnd"/>
      <w:r w:rsidRPr="005D2B49">
        <w:rPr>
          <w:bCs/>
          <w:i/>
          <w:spacing w:val="-13"/>
          <w:szCs w:val="24"/>
        </w:rPr>
        <w:t>). Ako má teda slovenský notár postupovať v prípade ak bol poručiteľ vlastníkom nehnuteľného majetku v zahraničí?</w:t>
      </w:r>
      <w:r w:rsidR="001917A8" w:rsidRPr="005D2B49">
        <w:rPr>
          <w:bCs/>
          <w:i/>
          <w:spacing w:val="-13"/>
          <w:szCs w:val="24"/>
        </w:rPr>
        <w:t xml:space="preserve"> Odpoveď je v prvom rade potrebné hľadať v Nariadení </w:t>
      </w:r>
      <w:r w:rsidR="005D2B49" w:rsidRPr="005D2B49">
        <w:rPr>
          <w:bCs/>
          <w:i/>
          <w:spacing w:val="-13"/>
          <w:szCs w:val="24"/>
        </w:rPr>
        <w:t>(</w:t>
      </w:r>
      <w:r w:rsidR="001917A8" w:rsidRPr="005D2B49">
        <w:rPr>
          <w:bCs/>
          <w:i/>
          <w:spacing w:val="-13"/>
          <w:szCs w:val="24"/>
        </w:rPr>
        <w:t>EÚ</w:t>
      </w:r>
      <w:r w:rsidR="005D2B49" w:rsidRPr="005D2B49">
        <w:rPr>
          <w:bCs/>
          <w:i/>
          <w:spacing w:val="-13"/>
          <w:szCs w:val="24"/>
        </w:rPr>
        <w:t>)</w:t>
      </w:r>
      <w:r w:rsidR="001917A8" w:rsidRPr="005D2B49">
        <w:rPr>
          <w:bCs/>
          <w:i/>
          <w:spacing w:val="-13"/>
          <w:szCs w:val="24"/>
        </w:rPr>
        <w:t xml:space="preserve"> č. 650/2012</w:t>
      </w:r>
      <w:r w:rsidR="005D2B49" w:rsidRPr="005D2B49">
        <w:rPr>
          <w:bCs/>
          <w:i/>
          <w:spacing w:val="-13"/>
          <w:szCs w:val="24"/>
        </w:rPr>
        <w:t>, ale i v dvojstranných a mnohostranných zmluvách</w:t>
      </w:r>
      <w:r w:rsidR="001917A8" w:rsidRPr="005D2B49">
        <w:rPr>
          <w:bCs/>
          <w:i/>
          <w:spacing w:val="-13"/>
          <w:szCs w:val="24"/>
        </w:rPr>
        <w:t>.</w:t>
      </w:r>
    </w:p>
    <w:p w14:paraId="6FBDAE13" w14:textId="77777777" w:rsidR="005D2B49" w:rsidRPr="005D2B49" w:rsidRDefault="005D2B49" w:rsidP="00170EC7">
      <w:pPr>
        <w:shd w:val="clear" w:color="auto" w:fill="FFFFFF"/>
        <w:spacing w:after="80"/>
        <w:ind w:left="426" w:firstLine="282"/>
        <w:jc w:val="both"/>
        <w:rPr>
          <w:bCs/>
          <w:i/>
          <w:spacing w:val="-13"/>
          <w:szCs w:val="24"/>
        </w:rPr>
      </w:pPr>
      <w:r w:rsidRPr="005D2B49">
        <w:rPr>
          <w:bCs/>
          <w:i/>
          <w:spacing w:val="-13"/>
          <w:szCs w:val="24"/>
        </w:rPr>
        <w:t>Tému je možné spracovať z rôznych uhlov pohľadu: vylúčenie povahy vecných práv k nehnuteľnostiam z rozsahu aplikácie Nariadenia a adaptácia cudzieho vecného práva na našom území, obmedzenia ukladané právnym poriadkom miesta polohy veci pre dedenie nehnuteľného majetku, možnosti vylúčenia rozhodovania o dedení zahraničnej nehnuteľnosti z dedičského konania a ďalšie.</w:t>
      </w:r>
    </w:p>
    <w:p w14:paraId="5ACC07D6" w14:textId="77777777" w:rsidR="005D2B49" w:rsidRPr="005D2B49" w:rsidRDefault="005D2B49" w:rsidP="00170EC7">
      <w:pPr>
        <w:shd w:val="clear" w:color="auto" w:fill="FFFFFF"/>
        <w:spacing w:after="80"/>
        <w:ind w:left="426" w:firstLine="282"/>
        <w:jc w:val="both"/>
        <w:rPr>
          <w:bCs/>
          <w:i/>
          <w:spacing w:val="-13"/>
          <w:szCs w:val="24"/>
        </w:rPr>
      </w:pPr>
      <w:r w:rsidRPr="005D2B49">
        <w:rPr>
          <w:bCs/>
          <w:i/>
          <w:spacing w:val="-13"/>
          <w:szCs w:val="24"/>
        </w:rPr>
        <w:t>Takisto je možné spracovať obdobnú prácu na tému právomoci vo veciach vecných práv k </w:t>
      </w:r>
      <w:proofErr w:type="spellStart"/>
      <w:r w:rsidRPr="005D2B49">
        <w:rPr>
          <w:bCs/>
          <w:i/>
          <w:spacing w:val="-13"/>
          <w:szCs w:val="24"/>
        </w:rPr>
        <w:t>nehnuteľnostiami</w:t>
      </w:r>
      <w:proofErr w:type="spellEnd"/>
      <w:r w:rsidRPr="005D2B49">
        <w:rPr>
          <w:bCs/>
          <w:i/>
          <w:spacing w:val="-13"/>
          <w:szCs w:val="24"/>
        </w:rPr>
        <w:t xml:space="preserve">, s prihliadnutím napríklad na početnú judikatúru Súdneho dvora EÚ k článku 24 ods. 1 (ex-čl. 22) Nariadenia (EÚ) č. 1215/2012 Brusel </w:t>
      </w:r>
      <w:proofErr w:type="spellStart"/>
      <w:r w:rsidRPr="005D2B49">
        <w:rPr>
          <w:bCs/>
          <w:i/>
          <w:spacing w:val="-13"/>
          <w:szCs w:val="24"/>
        </w:rPr>
        <w:t>I.a</w:t>
      </w:r>
      <w:proofErr w:type="spellEnd"/>
      <w:r w:rsidRPr="005D2B49">
        <w:rPr>
          <w:bCs/>
          <w:i/>
          <w:spacing w:val="-13"/>
          <w:szCs w:val="24"/>
        </w:rPr>
        <w:t>.</w:t>
      </w:r>
    </w:p>
    <w:p w14:paraId="60557D2C" w14:textId="77777777" w:rsidR="001917A8" w:rsidRDefault="001917A8" w:rsidP="00170EC7">
      <w:pPr>
        <w:shd w:val="clear" w:color="auto" w:fill="FFFFFF"/>
        <w:spacing w:after="80"/>
        <w:ind w:left="851"/>
        <w:jc w:val="both"/>
        <w:rPr>
          <w:bCs/>
          <w:i/>
          <w:spacing w:val="-13"/>
          <w:sz w:val="22"/>
          <w:szCs w:val="24"/>
        </w:rPr>
      </w:pPr>
    </w:p>
    <w:p w14:paraId="4AAFF86B" w14:textId="77777777" w:rsidR="001C4024" w:rsidRPr="00126B5D" w:rsidRDefault="005D2B49" w:rsidP="00170EC7">
      <w:pPr>
        <w:pStyle w:val="Odsekzoznamu"/>
        <w:numPr>
          <w:ilvl w:val="0"/>
          <w:numId w:val="8"/>
        </w:numPr>
        <w:shd w:val="clear" w:color="auto" w:fill="FFFFFF"/>
        <w:spacing w:after="80" w:line="360" w:lineRule="auto"/>
        <w:ind w:left="709"/>
        <w:jc w:val="both"/>
        <w:rPr>
          <w:b/>
          <w:bCs/>
          <w:spacing w:val="-13"/>
          <w:sz w:val="24"/>
          <w:szCs w:val="24"/>
        </w:rPr>
      </w:pPr>
      <w:r w:rsidRPr="00126B5D">
        <w:rPr>
          <w:b/>
          <w:bCs/>
          <w:spacing w:val="-13"/>
          <w:sz w:val="24"/>
          <w:szCs w:val="24"/>
        </w:rPr>
        <w:t>Maloletý v konaní</w:t>
      </w:r>
      <w:r w:rsidR="001C4024" w:rsidRPr="00126B5D">
        <w:rPr>
          <w:b/>
          <w:bCs/>
          <w:spacing w:val="-13"/>
          <w:sz w:val="24"/>
          <w:szCs w:val="24"/>
        </w:rPr>
        <w:t xml:space="preserve"> s cudzím prvkom.</w:t>
      </w:r>
    </w:p>
    <w:p w14:paraId="5BDA0F3D" w14:textId="77777777" w:rsidR="001C4024" w:rsidRDefault="005D2B49" w:rsidP="00170EC7">
      <w:pPr>
        <w:shd w:val="clear" w:color="auto" w:fill="FFFFFF"/>
        <w:spacing w:after="80"/>
        <w:ind w:left="426" w:firstLine="705"/>
        <w:jc w:val="both"/>
        <w:rPr>
          <w:bCs/>
          <w:i/>
          <w:spacing w:val="-13"/>
          <w:szCs w:val="24"/>
        </w:rPr>
      </w:pPr>
      <w:r>
        <w:rPr>
          <w:bCs/>
          <w:i/>
          <w:spacing w:val="-13"/>
          <w:szCs w:val="24"/>
        </w:rPr>
        <w:t xml:space="preserve">V konaní týkajúceho sa maloletého má byť prioritným záujem maloletého. Vo veciach s cudzím prvkom sa to prejavuje najmä tým, že právomoc súdu </w:t>
      </w:r>
      <w:r w:rsidR="00043689">
        <w:rPr>
          <w:bCs/>
          <w:i/>
          <w:spacing w:val="-13"/>
          <w:szCs w:val="24"/>
        </w:rPr>
        <w:t xml:space="preserve">i rozhodné právo vo veciach starostlivosti o maloletého (rodičovských práv a povinností) sa určuje s ohľadom na maloletého: obvyklý pobyt maloletého. Prameňmi právnej úpravy týchto otázok sú najmä Nariadenie (ES) č. 2201/2003 Brusel </w:t>
      </w:r>
      <w:proofErr w:type="spellStart"/>
      <w:r w:rsidR="00043689">
        <w:rPr>
          <w:bCs/>
          <w:i/>
          <w:spacing w:val="-13"/>
          <w:szCs w:val="24"/>
        </w:rPr>
        <w:t>II.a</w:t>
      </w:r>
      <w:proofErr w:type="spellEnd"/>
      <w:r w:rsidR="00043689">
        <w:rPr>
          <w:bCs/>
          <w:i/>
          <w:spacing w:val="-13"/>
          <w:szCs w:val="24"/>
        </w:rPr>
        <w:t xml:space="preserve"> a Haagsky dohovor z r. 1966. Predmetná rigorózna práca môže rozoberať ako je organizovaná právomoc súdu vo veciach starostlivosti o maloletého a ev. výživného a akým spôsobom je zabezpečovaný najlepší záujem maloletého, napríklad mechanizmy tzv. voľby právomoci a prenesenia právomoci (ktoré ako také existuje i v slovenskom právnom poriadku). Môže si všímať samotné postavenie maloletého, najmä zabezpečenie práv ktoré pre maloletých vyplývajú z Dohovoru o právach dieťaťa, najmä právo byť vypočutý (čl. 12 Dohovoru). Alebo sa môže zamerať na určovanie samotného obvyklého pobytu dieťaťa s pohľadu judikatúry Súdneho dvora EÚ a pod.</w:t>
      </w:r>
    </w:p>
    <w:p w14:paraId="5787865A" w14:textId="77777777" w:rsidR="00043689" w:rsidRPr="005D2B49" w:rsidRDefault="00043689" w:rsidP="00170EC7">
      <w:pPr>
        <w:shd w:val="clear" w:color="auto" w:fill="FFFFFF"/>
        <w:spacing w:after="80"/>
        <w:ind w:firstLine="705"/>
        <w:jc w:val="both"/>
        <w:rPr>
          <w:bCs/>
          <w:i/>
          <w:spacing w:val="-13"/>
          <w:szCs w:val="24"/>
        </w:rPr>
      </w:pPr>
    </w:p>
    <w:p w14:paraId="053A19D1" w14:textId="77777777" w:rsidR="001C4024" w:rsidRPr="00126B5D" w:rsidRDefault="001C4024" w:rsidP="00170EC7">
      <w:pPr>
        <w:pStyle w:val="Odsekzoznamu"/>
        <w:numPr>
          <w:ilvl w:val="0"/>
          <w:numId w:val="8"/>
        </w:numPr>
        <w:shd w:val="clear" w:color="auto" w:fill="FFFFFF"/>
        <w:spacing w:after="80" w:line="360" w:lineRule="auto"/>
        <w:ind w:left="705"/>
        <w:rPr>
          <w:b/>
          <w:bCs/>
          <w:color w:val="000000"/>
          <w:spacing w:val="-13"/>
          <w:sz w:val="24"/>
          <w:szCs w:val="24"/>
        </w:rPr>
      </w:pPr>
      <w:r w:rsidRPr="00126B5D">
        <w:rPr>
          <w:b/>
          <w:bCs/>
          <w:color w:val="000000"/>
          <w:spacing w:val="-13"/>
          <w:sz w:val="24"/>
          <w:szCs w:val="24"/>
        </w:rPr>
        <w:t>Vymáhanie výživného v zahraničí.</w:t>
      </w:r>
    </w:p>
    <w:p w14:paraId="20FD28B7" w14:textId="5893ED36" w:rsidR="001C4024" w:rsidRPr="006771F0" w:rsidRDefault="006771F0" w:rsidP="00170EC7">
      <w:pPr>
        <w:shd w:val="clear" w:color="auto" w:fill="FFFFFF"/>
        <w:spacing w:after="80"/>
        <w:ind w:left="426" w:firstLine="279"/>
        <w:rPr>
          <w:bCs/>
          <w:i/>
          <w:color w:val="000000"/>
          <w:spacing w:val="-13"/>
        </w:rPr>
      </w:pPr>
      <w:r>
        <w:rPr>
          <w:bCs/>
          <w:i/>
          <w:color w:val="000000"/>
          <w:spacing w:val="-13"/>
        </w:rPr>
        <w:t xml:space="preserve">Zabezpečenie účinného plnenia vyživovacej povinnosti pre osoby odkázané svojou výživou na povinného </w:t>
      </w:r>
      <w:r w:rsidR="00727C90">
        <w:rPr>
          <w:bCs/>
          <w:i/>
          <w:color w:val="000000"/>
          <w:spacing w:val="-13"/>
        </w:rPr>
        <w:t xml:space="preserve">sa mimoriadne komplikuje ak sa povinný dlhodobo zdržuje v zahraničí. Na uľahčenie vymáhania výživného v zahraničí bol medzinárodnými dohovormi </w:t>
      </w:r>
      <w:r w:rsidR="00750849">
        <w:rPr>
          <w:bCs/>
          <w:i/>
          <w:color w:val="000000"/>
          <w:spacing w:val="-13"/>
        </w:rPr>
        <w:t xml:space="preserve">prijatými v rokoch 1956 až 2007 </w:t>
      </w:r>
      <w:r w:rsidR="00727C90">
        <w:rPr>
          <w:bCs/>
          <w:i/>
          <w:color w:val="000000"/>
          <w:spacing w:val="-13"/>
        </w:rPr>
        <w:t xml:space="preserve">vytvorený systém právnej pomoci a spolupráce ktorý uľahčuje oprávnenému (podľa najnovšej právnej úpravy už aj povinnému) vedenie konania v zahraničí a účinné vymáhanie výživného. Rigorózna práca by mala charakterizovať tento systém, so zameraním buď na činnosť ústredných orgánov (z pohľadu slovenskej </w:t>
      </w:r>
      <w:r w:rsidR="00727C90">
        <w:rPr>
          <w:bCs/>
          <w:i/>
          <w:color w:val="000000"/>
          <w:spacing w:val="-13"/>
        </w:rPr>
        <w:lastRenderedPageBreak/>
        <w:t xml:space="preserve">republiky CIPC) ev. vymedziť vzťah tohto systému k systému vytvorenému Smernicou </w:t>
      </w:r>
      <w:r w:rsidR="00750849">
        <w:rPr>
          <w:bCs/>
          <w:i/>
          <w:color w:val="000000"/>
          <w:spacing w:val="-13"/>
        </w:rPr>
        <w:t>(ES) 2003/8</w:t>
      </w:r>
      <w:r w:rsidR="00727C90">
        <w:rPr>
          <w:bCs/>
          <w:i/>
          <w:color w:val="000000"/>
          <w:spacing w:val="-13"/>
        </w:rPr>
        <w:t xml:space="preserve">  a Dohovorom o uľahčení prístupu k justičným orgánom v cudzine, alebo sa môže zamerať na </w:t>
      </w:r>
      <w:r w:rsidR="00750849">
        <w:rPr>
          <w:bCs/>
          <w:i/>
          <w:color w:val="000000"/>
          <w:spacing w:val="-13"/>
        </w:rPr>
        <w:t xml:space="preserve">otázky právomoci, rozhodného práva a uznávania a výkonu rozhodnutí vo veciach vyživovacej povinnosti ako prostriedky účinného vymáhania výživného v zahraničí a prínos spomínaných dohovorov v tomto smere. </w:t>
      </w:r>
    </w:p>
    <w:p w14:paraId="6F7B8FF2" w14:textId="65FDE0D5" w:rsidR="00DC14A7" w:rsidRPr="00126B5D" w:rsidRDefault="00DC14A7" w:rsidP="00DC14A7">
      <w:pPr>
        <w:pStyle w:val="Odsekzoznamu"/>
        <w:numPr>
          <w:ilvl w:val="0"/>
          <w:numId w:val="8"/>
        </w:numPr>
        <w:shd w:val="clear" w:color="auto" w:fill="FFFFFF"/>
        <w:spacing w:after="80" w:line="360" w:lineRule="auto"/>
        <w:ind w:left="705"/>
        <w:rPr>
          <w:b/>
          <w:bCs/>
          <w:color w:val="000000"/>
          <w:spacing w:val="-13"/>
          <w:sz w:val="24"/>
          <w:szCs w:val="24"/>
        </w:rPr>
      </w:pPr>
      <w:r>
        <w:rPr>
          <w:b/>
          <w:bCs/>
          <w:color w:val="000000"/>
          <w:spacing w:val="-13"/>
          <w:sz w:val="24"/>
          <w:szCs w:val="24"/>
        </w:rPr>
        <w:t>Právomoc súdov EÚ vo veciach sporov so slabšou stranou</w:t>
      </w:r>
      <w:r w:rsidRPr="00126B5D">
        <w:rPr>
          <w:b/>
          <w:bCs/>
          <w:color w:val="000000"/>
          <w:spacing w:val="-13"/>
          <w:sz w:val="24"/>
          <w:szCs w:val="24"/>
        </w:rPr>
        <w:t>.</w:t>
      </w:r>
    </w:p>
    <w:p w14:paraId="724E177E" w14:textId="4C333950" w:rsidR="00DC14A7" w:rsidRDefault="00DC14A7" w:rsidP="00DC14A7">
      <w:pPr>
        <w:shd w:val="clear" w:color="auto" w:fill="FFFFFF"/>
        <w:spacing w:after="80"/>
        <w:ind w:left="426" w:firstLine="279"/>
        <w:rPr>
          <w:bCs/>
          <w:i/>
          <w:color w:val="000000"/>
          <w:spacing w:val="-13"/>
        </w:rPr>
      </w:pPr>
      <w:r>
        <w:rPr>
          <w:bCs/>
          <w:i/>
          <w:color w:val="000000"/>
          <w:spacing w:val="-13"/>
        </w:rPr>
        <w:t xml:space="preserve">Za slabšiu stranu sa v práve EÚ ale i v právnych vzťahoch s cudzím prvkom považuje spotrebiteľ, vo veciach týkajúcich sa spotrebiteľských zmlúv, zamestnanec vo veciach týkajúcich sa individuálnych pracovných zmlúv, a poistník, poistený alebo oprávnený z poistenia vo veciach poistných zmlúv (Oddiely 3, 4 a 5, Kapitoly II. Nariadenia č. 1215/2012 Brusel </w:t>
      </w:r>
      <w:proofErr w:type="spellStart"/>
      <w:r>
        <w:rPr>
          <w:bCs/>
          <w:i/>
          <w:color w:val="000000"/>
          <w:spacing w:val="-13"/>
        </w:rPr>
        <w:t>I.a</w:t>
      </w:r>
      <w:proofErr w:type="spellEnd"/>
      <w:r>
        <w:rPr>
          <w:bCs/>
          <w:i/>
          <w:color w:val="000000"/>
          <w:spacing w:val="-13"/>
        </w:rPr>
        <w:t xml:space="preserve">). Rigorózna práca by sa mala venovať najmä otázkam na akých princípoch je postavená právomoc vo veciach sporov zo slabšou stranou, akým spôsobom je slabšia strana chránená a ako je zabezpečovaná rovnováha medzi oprávnenými očakávaniami slabšej a tzv. silnejšej strany v týchto právnych vzťahoch. Náležitý zreteľ je pritom potrebné venovať judikatúre Súdneho dvora EÚ k príslušným oddielom Nariadenia Brusel </w:t>
      </w:r>
      <w:proofErr w:type="spellStart"/>
      <w:r>
        <w:rPr>
          <w:bCs/>
          <w:i/>
          <w:color w:val="000000"/>
          <w:spacing w:val="-13"/>
        </w:rPr>
        <w:t>I.a</w:t>
      </w:r>
      <w:proofErr w:type="spellEnd"/>
      <w:r>
        <w:rPr>
          <w:bCs/>
          <w:i/>
          <w:color w:val="000000"/>
          <w:spacing w:val="-13"/>
        </w:rPr>
        <w:t xml:space="preserve"> ktorý tvorí základ právnej úpravy </w:t>
      </w:r>
      <w:r w:rsidR="00FB71DE">
        <w:rPr>
          <w:bCs/>
          <w:i/>
          <w:color w:val="000000"/>
          <w:spacing w:val="-13"/>
        </w:rPr>
        <w:t>právomoci v týchto veciach.</w:t>
      </w:r>
    </w:p>
    <w:p w14:paraId="6FEF58EC" w14:textId="0BB71685" w:rsidR="00FB71DE" w:rsidRPr="006771F0" w:rsidRDefault="00FB71DE" w:rsidP="00DC14A7">
      <w:pPr>
        <w:shd w:val="clear" w:color="auto" w:fill="FFFFFF"/>
        <w:spacing w:after="80"/>
        <w:ind w:left="426" w:firstLine="279"/>
        <w:rPr>
          <w:bCs/>
          <w:i/>
          <w:color w:val="000000"/>
          <w:spacing w:val="-13"/>
        </w:rPr>
      </w:pPr>
      <w:r>
        <w:rPr>
          <w:bCs/>
          <w:i/>
          <w:color w:val="000000"/>
          <w:spacing w:val="-13"/>
        </w:rPr>
        <w:t xml:space="preserve">Rigoróznu prácu možno alternatívne vypracovať so zameraním len na jeden z horeuvedených typov zmlúv so slabšou stranou, pričom autor sa môže venovať komplexne rozhodnému právu a právomoci pre vybraný typ zmluvy. </w:t>
      </w:r>
    </w:p>
    <w:p w14:paraId="38E84239" w14:textId="77777777" w:rsidR="00DC14A7" w:rsidRPr="006771F0" w:rsidRDefault="00DC14A7" w:rsidP="00DC14A7">
      <w:pPr>
        <w:shd w:val="clear" w:color="auto" w:fill="FFFFFF"/>
        <w:spacing w:after="80"/>
        <w:ind w:left="426"/>
        <w:rPr>
          <w:bCs/>
          <w:i/>
          <w:color w:val="000000"/>
          <w:spacing w:val="-13"/>
        </w:rPr>
      </w:pPr>
    </w:p>
    <w:p w14:paraId="2C0E090F" w14:textId="77777777" w:rsidR="00126B5D" w:rsidRPr="00126B5D" w:rsidRDefault="00126B5D" w:rsidP="00170EC7">
      <w:pPr>
        <w:pStyle w:val="Odsekzoznamu"/>
        <w:numPr>
          <w:ilvl w:val="0"/>
          <w:numId w:val="8"/>
        </w:numPr>
        <w:shd w:val="clear" w:color="auto" w:fill="FFFFFF"/>
        <w:spacing w:after="80" w:line="360" w:lineRule="auto"/>
        <w:ind w:left="709"/>
        <w:jc w:val="both"/>
        <w:rPr>
          <w:bCs/>
          <w:spacing w:val="-13"/>
          <w:sz w:val="24"/>
          <w:szCs w:val="24"/>
        </w:rPr>
      </w:pPr>
      <w:r w:rsidRPr="00126B5D">
        <w:rPr>
          <w:b/>
          <w:bCs/>
          <w:color w:val="000000"/>
          <w:spacing w:val="-13"/>
          <w:sz w:val="24"/>
          <w:szCs w:val="24"/>
        </w:rPr>
        <w:t xml:space="preserve">Viedenský dohovor o zmluvách o medzinárodnej kúpe tovaru </w:t>
      </w:r>
    </w:p>
    <w:p w14:paraId="317E3FF2" w14:textId="77777777" w:rsidR="00126B5D" w:rsidRDefault="00126B5D" w:rsidP="00170EC7">
      <w:pPr>
        <w:spacing w:after="80" w:line="240" w:lineRule="atLeast"/>
        <w:ind w:left="360"/>
        <w:jc w:val="both"/>
        <w:rPr>
          <w:rFonts w:eastAsiaTheme="minorEastAsia"/>
          <w:i/>
          <w:szCs w:val="24"/>
        </w:rPr>
      </w:pPr>
      <w:r w:rsidRPr="00126B5D">
        <w:rPr>
          <w:i/>
          <w:szCs w:val="24"/>
        </w:rPr>
        <w:t xml:space="preserve">Jedným z najdôležitejších inštitútov v rámci úpravy zmluvných vzťahov v medzinárodnom obchodnom styku je inštitút zmluvy o medzinárodnej kúpe tovaru, ktorý patrí k najstarším a najrozšírenejším formám hospodárskeho styku medzi zmluvnými stranami, ktoré majú miesto podnikania v rôznych štátoch. Zmluva o medzinárodnej kúpe tovaru patrí medzi tie zmluvné záväzky, ktoré sú upravené priamymi hmotnoprávnymi právnymi normami dojednanými v medzinárodnej zmluve- kodifikované v Dohovore OSN o zmluvách o medzinárodnej kúpe tovaru, ktorý bol dojednaný vo Viedni 11. Apríla 1980 a vstúpil do platnosti 01.01.1988. </w:t>
      </w:r>
      <w:r w:rsidRPr="00126B5D">
        <w:rPr>
          <w:rFonts w:eastAsiaTheme="minorEastAsia"/>
          <w:i/>
          <w:szCs w:val="24"/>
        </w:rPr>
        <w:t>K sukcesii Slovenskej republiky do Viedenského dohovoru (s účinnosťou od 01.01.1993) došlo notifikáciou sukcesie do práv a záväzkov bývalej ČSFR nótou Ministerstva zahraničných vecí Slovenskej republiky 28.05.1993. Od toho času možno po viac ako 25-tich rokoch možno zhodnotiť a poukazovať na konkrétne rozhodnutia súdov SR týkajúce sa aplikácie Dohovoru.</w:t>
      </w:r>
    </w:p>
    <w:p w14:paraId="2BDB0704" w14:textId="77777777" w:rsidR="00126B5D" w:rsidRPr="00126B5D" w:rsidRDefault="00126B5D" w:rsidP="00170EC7">
      <w:pPr>
        <w:spacing w:after="80" w:line="240" w:lineRule="atLeast"/>
        <w:ind w:left="360"/>
        <w:jc w:val="both"/>
        <w:rPr>
          <w:rFonts w:eastAsiaTheme="minorEastAsia"/>
          <w:i/>
          <w:szCs w:val="24"/>
        </w:rPr>
      </w:pPr>
    </w:p>
    <w:p w14:paraId="5379B142" w14:textId="77777777" w:rsidR="00126B5D" w:rsidRPr="00126B5D" w:rsidRDefault="00126B5D" w:rsidP="00170EC7">
      <w:pPr>
        <w:pStyle w:val="Odsekzoznamu"/>
        <w:numPr>
          <w:ilvl w:val="0"/>
          <w:numId w:val="8"/>
        </w:numPr>
        <w:shd w:val="clear" w:color="auto" w:fill="FFFFFF"/>
        <w:spacing w:after="80" w:line="240" w:lineRule="atLeast"/>
        <w:ind w:left="709"/>
        <w:jc w:val="both"/>
        <w:rPr>
          <w:b/>
          <w:bCs/>
          <w:color w:val="000000"/>
          <w:spacing w:val="-13"/>
          <w:sz w:val="24"/>
          <w:szCs w:val="24"/>
        </w:rPr>
      </w:pPr>
      <w:r w:rsidRPr="00126B5D">
        <w:rPr>
          <w:b/>
          <w:bCs/>
          <w:color w:val="000000"/>
          <w:spacing w:val="-13"/>
          <w:sz w:val="24"/>
          <w:szCs w:val="24"/>
        </w:rPr>
        <w:t>Konkurencia rozhodcovského a súdneho konania – skúmanie podmienok právomoci všeobecnými súdmi</w:t>
      </w:r>
    </w:p>
    <w:p w14:paraId="7E9200EC" w14:textId="77777777" w:rsidR="00126B5D" w:rsidRDefault="00126B5D" w:rsidP="00170EC7">
      <w:pPr>
        <w:shd w:val="clear" w:color="auto" w:fill="FFFFFF"/>
        <w:spacing w:after="80" w:line="240" w:lineRule="atLeast"/>
        <w:ind w:left="360"/>
        <w:jc w:val="both"/>
        <w:rPr>
          <w:i/>
          <w:szCs w:val="24"/>
        </w:rPr>
      </w:pPr>
      <w:r w:rsidRPr="00126B5D">
        <w:rPr>
          <w:i/>
          <w:szCs w:val="24"/>
        </w:rPr>
        <w:t>Cieľom príspevku je poukázať na riešenie konkurencie rozhodcovského konania  podľa  Zákona č. 244/2002 Z. z. o rozhodcovskom konaní v znení neskorších predpisov so súdnym konaním podľa Zákona č. 160/2015 Z. z. (Civilný sporový poriadok) v znení neskorších predpisov, resp. podľa Zákona č. 99/1963 Zb. (Občiansky súdny poriadok) v znení neskorších predpisov, a to či už pred alebo po začatí súdneho konania na základe žaloby jednej zo sporových strán podanej na všeobecnom štátnom súde- výber judikatúry súdov SR.</w:t>
      </w:r>
    </w:p>
    <w:p w14:paraId="0CA8DC6E" w14:textId="77777777" w:rsidR="00126B5D" w:rsidRPr="00126B5D" w:rsidRDefault="00126B5D" w:rsidP="00170EC7">
      <w:pPr>
        <w:shd w:val="clear" w:color="auto" w:fill="FFFFFF"/>
        <w:spacing w:after="80" w:line="240" w:lineRule="atLeast"/>
        <w:ind w:left="360"/>
        <w:jc w:val="both"/>
        <w:rPr>
          <w:i/>
          <w:szCs w:val="24"/>
        </w:rPr>
      </w:pPr>
    </w:p>
    <w:p w14:paraId="531BBE8E" w14:textId="77777777" w:rsidR="00126B5D" w:rsidRPr="00126B5D" w:rsidRDefault="00126B5D" w:rsidP="00170EC7">
      <w:pPr>
        <w:pStyle w:val="Odsekzoznamu"/>
        <w:numPr>
          <w:ilvl w:val="0"/>
          <w:numId w:val="8"/>
        </w:numPr>
        <w:shd w:val="clear" w:color="auto" w:fill="FFFFFF"/>
        <w:spacing w:after="80" w:line="360" w:lineRule="auto"/>
        <w:ind w:left="709"/>
        <w:jc w:val="both"/>
        <w:rPr>
          <w:b/>
          <w:bCs/>
          <w:color w:val="000000"/>
          <w:spacing w:val="-13"/>
          <w:sz w:val="24"/>
          <w:szCs w:val="24"/>
        </w:rPr>
      </w:pPr>
      <w:r w:rsidRPr="00126B5D">
        <w:rPr>
          <w:b/>
          <w:bCs/>
          <w:color w:val="000000"/>
          <w:spacing w:val="-13"/>
          <w:sz w:val="24"/>
          <w:szCs w:val="24"/>
        </w:rPr>
        <w:t>Uznanie a výkon cudzích rozhodcovských nálezov</w:t>
      </w:r>
    </w:p>
    <w:p w14:paraId="6A6A1EA8" w14:textId="77777777" w:rsidR="00126B5D" w:rsidRDefault="00126B5D" w:rsidP="00170EC7">
      <w:pPr>
        <w:shd w:val="clear" w:color="auto" w:fill="FFFFFF"/>
        <w:spacing w:after="80" w:line="240" w:lineRule="atLeast"/>
        <w:ind w:left="360"/>
        <w:jc w:val="both"/>
        <w:rPr>
          <w:bCs/>
          <w:i/>
          <w:color w:val="000000"/>
          <w:spacing w:val="-13"/>
          <w:szCs w:val="24"/>
        </w:rPr>
      </w:pPr>
      <w:r w:rsidRPr="00126B5D">
        <w:rPr>
          <w:bCs/>
          <w:i/>
          <w:color w:val="000000"/>
          <w:spacing w:val="-13"/>
          <w:szCs w:val="24"/>
        </w:rPr>
        <w:t xml:space="preserve">Dohovoru o uznaní a výkone cudzích rozhodcovských rozhodnutí upravuje podmienky za akých zmluvných štát uznáva a vykonáva cudzie rozhodcovské rozhodnutia. Na základe Dohovoru možno uznať a vykonať aj rozhodcovské rozhodnutia vydané na území nezmluvného štátu. Postup pri uznaní a výkone cudzích rozhodcovských rozsudkov je ponechaný na úpravu v konkrétnych vnútroštátnych predpisoch. Cieľom práce je právny rozbor predpisov upravujúcich uznanie a výkon cudzích rozhodnutí v SR s poukazom na dostupnú judikatúru súdov. </w:t>
      </w:r>
    </w:p>
    <w:p w14:paraId="451D0F60" w14:textId="77777777" w:rsidR="00126B5D" w:rsidRPr="00126B5D" w:rsidRDefault="00126B5D" w:rsidP="00170EC7">
      <w:pPr>
        <w:shd w:val="clear" w:color="auto" w:fill="FFFFFF"/>
        <w:spacing w:after="80" w:line="240" w:lineRule="atLeast"/>
        <w:ind w:left="360"/>
        <w:jc w:val="both"/>
        <w:rPr>
          <w:bCs/>
          <w:i/>
          <w:color w:val="000000"/>
          <w:spacing w:val="-13"/>
          <w:szCs w:val="24"/>
        </w:rPr>
      </w:pPr>
    </w:p>
    <w:p w14:paraId="676D953F" w14:textId="77777777" w:rsidR="00126B5D" w:rsidRPr="00126B5D" w:rsidRDefault="00126B5D" w:rsidP="00170EC7">
      <w:pPr>
        <w:pStyle w:val="Odsekzoznamu"/>
        <w:numPr>
          <w:ilvl w:val="0"/>
          <w:numId w:val="8"/>
        </w:numPr>
        <w:shd w:val="clear" w:color="auto" w:fill="FFFFFF"/>
        <w:spacing w:after="80" w:line="360" w:lineRule="auto"/>
        <w:ind w:left="709"/>
        <w:jc w:val="both"/>
        <w:rPr>
          <w:b/>
          <w:bCs/>
          <w:color w:val="000000"/>
          <w:spacing w:val="-13"/>
          <w:sz w:val="24"/>
          <w:szCs w:val="24"/>
        </w:rPr>
      </w:pPr>
      <w:r w:rsidRPr="00126B5D">
        <w:rPr>
          <w:b/>
          <w:bCs/>
          <w:color w:val="000000"/>
          <w:spacing w:val="-13"/>
          <w:sz w:val="24"/>
          <w:szCs w:val="24"/>
        </w:rPr>
        <w:t>Zrušenie rozhodcovského rozsudku – právna úprava SR</w:t>
      </w:r>
    </w:p>
    <w:p w14:paraId="72038101" w14:textId="77777777" w:rsidR="00126B5D" w:rsidRDefault="00126B5D" w:rsidP="00170EC7">
      <w:pPr>
        <w:pStyle w:val="C-AbstractOriginal"/>
        <w:spacing w:after="80"/>
        <w:ind w:left="360"/>
        <w:rPr>
          <w:rFonts w:ascii="Times New Roman" w:eastAsiaTheme="minorHAnsi" w:hAnsi="Times New Roman"/>
          <w:i/>
        </w:rPr>
      </w:pPr>
      <w:r w:rsidRPr="00126B5D">
        <w:rPr>
          <w:rFonts w:ascii="Times New Roman" w:eastAsiaTheme="minorHAnsi" w:hAnsi="Times New Roman"/>
          <w:i/>
        </w:rPr>
        <w:t xml:space="preserve">Autonómia strán v oblasti zmluvných záväzkov je uznávaným inštitútom v rámci hmotnoprávnej úpravy jednotlivých štátov. Kontrahujúce strany majú však nielen právo tvoriť obsah zmluvy, prípadne zvoliť si rozhodné právo, v prípade cezhraničných zmluvných vzťahov, ale aj možnosť zvoliť si rozhodcovský súd, ktorý bude mať právomoc prejednať spory vzniknuté medzi zmluvnými stranami. Podmienky a mieru takejto autonómie v oblasti vnútroštátnej regulácie SR upravuje Zákon č. 244/2002 Z. z., ktorý prechádza významnými zmenami. Zákon o rozhodcovskom konaní taxatívne upravuje podmienky a dôvody na podanie </w:t>
      </w:r>
      <w:r w:rsidRPr="00126B5D">
        <w:rPr>
          <w:rFonts w:ascii="Times New Roman" w:eastAsiaTheme="minorHAnsi" w:hAnsi="Times New Roman"/>
          <w:i/>
        </w:rPr>
        <w:lastRenderedPageBreak/>
        <w:t>žaloby na zrušenie rozhodcovského rozsudku. Cieľom práce je právny rozbor príslušnej vnútroštátnej právnej úpravy s poukazom na dostupnú judikatúru.</w:t>
      </w:r>
    </w:p>
    <w:p w14:paraId="06E39E2F" w14:textId="77777777" w:rsidR="00126B5D" w:rsidRPr="00126B5D" w:rsidRDefault="00126B5D" w:rsidP="00170EC7">
      <w:pPr>
        <w:pStyle w:val="C-AbstractOriginal"/>
        <w:spacing w:after="80"/>
        <w:ind w:left="360"/>
        <w:rPr>
          <w:rFonts w:ascii="Times New Roman" w:eastAsiaTheme="minorHAnsi" w:hAnsi="Times New Roman"/>
          <w:i/>
        </w:rPr>
      </w:pPr>
    </w:p>
    <w:p w14:paraId="38EFED03" w14:textId="77777777" w:rsidR="00126B5D" w:rsidRPr="00126B5D" w:rsidRDefault="00126B5D" w:rsidP="00170EC7">
      <w:pPr>
        <w:pStyle w:val="Odsekzoznamu"/>
        <w:numPr>
          <w:ilvl w:val="0"/>
          <w:numId w:val="8"/>
        </w:numPr>
        <w:shd w:val="clear" w:color="auto" w:fill="FFFFFF"/>
        <w:spacing w:after="80" w:line="360" w:lineRule="auto"/>
        <w:ind w:left="709"/>
        <w:jc w:val="both"/>
        <w:rPr>
          <w:b/>
          <w:bCs/>
          <w:color w:val="000000"/>
          <w:spacing w:val="-13"/>
          <w:sz w:val="24"/>
          <w:szCs w:val="24"/>
        </w:rPr>
      </w:pPr>
      <w:r w:rsidRPr="00126B5D">
        <w:rPr>
          <w:b/>
          <w:bCs/>
          <w:color w:val="000000"/>
          <w:spacing w:val="-13"/>
          <w:sz w:val="24"/>
          <w:szCs w:val="24"/>
        </w:rPr>
        <w:t>Rozhodcovská doložka vo svetle judikatúry súdov Slovenskej republiky</w:t>
      </w:r>
    </w:p>
    <w:p w14:paraId="67645F8F" w14:textId="77777777" w:rsidR="00126B5D" w:rsidRPr="00126B5D" w:rsidRDefault="00126B5D" w:rsidP="00170EC7">
      <w:pPr>
        <w:pStyle w:val="C-AbstractEnglish"/>
        <w:spacing w:after="80"/>
        <w:ind w:left="360"/>
        <w:rPr>
          <w:rFonts w:ascii="Times New Roman" w:eastAsia="Times New Roman" w:hAnsi="Times New Roman"/>
          <w:i/>
          <w:szCs w:val="24"/>
          <w:lang w:val="sk-SK" w:eastAsia="sk-SK"/>
        </w:rPr>
      </w:pPr>
      <w:r w:rsidRPr="00126B5D">
        <w:rPr>
          <w:rFonts w:ascii="Times New Roman" w:eastAsia="Times New Roman" w:hAnsi="Times New Roman"/>
          <w:i/>
          <w:szCs w:val="24"/>
          <w:lang w:val="sk-SK" w:eastAsia="sk-SK"/>
        </w:rPr>
        <w:t>Zmluvnú autonómiu podriadiť riešenie  sporu (sporov) rozhodcovskému súdu limituje množstvo faktorov. V konečnom dôsledku sa takýto konsenzus strán musí prejaviť v uzavretí perfektnej rozhodcovskej zmluvy (doložky), ktorá zásadne ovplyvňuje právny osud  a uplatnenie samotného nároku. Rozhodovacia prax súdov Slovenskej republiky významnou mierou ovplyvňuje výklad zákonných podmienok stanovených pre rozhodcovskú zmluvu (doložku) v tom ktorom ďalšom prípade. Cieľom práce je poukázať vybrané rozhodnutia súdov dotýkajúce sa aplikácie vnútroštátnych pravidiel rozhodcovského konania upravujúcich podmienky založenia právomoci rozhodcovských súdov podľa Zákona č. 244/2002 Z. z. o rozhodcovskom konaní v znení neskorších predpisov</w:t>
      </w:r>
    </w:p>
    <w:p w14:paraId="5A2D3AC8" w14:textId="77777777" w:rsidR="00126B5D" w:rsidRDefault="00126B5D" w:rsidP="00170EC7">
      <w:pPr>
        <w:shd w:val="clear" w:color="auto" w:fill="FFFFFF"/>
        <w:spacing w:after="80" w:line="360" w:lineRule="auto"/>
        <w:ind w:left="4"/>
        <w:jc w:val="both"/>
        <w:rPr>
          <w:bCs/>
          <w:spacing w:val="-13"/>
          <w:szCs w:val="24"/>
        </w:rPr>
      </w:pPr>
    </w:p>
    <w:p w14:paraId="76F7FEA3" w14:textId="77777777" w:rsidR="00DC14A7" w:rsidRDefault="00DC14A7" w:rsidP="00DC14A7">
      <w:pPr>
        <w:shd w:val="clear" w:color="auto" w:fill="FFFFFF"/>
        <w:spacing w:after="80" w:line="360" w:lineRule="auto"/>
        <w:rPr>
          <w:bCs/>
          <w:color w:val="000000"/>
          <w:spacing w:val="-13"/>
          <w:sz w:val="24"/>
          <w:szCs w:val="28"/>
          <w:u w:val="single"/>
        </w:rPr>
      </w:pPr>
    </w:p>
    <w:p w14:paraId="7B513F58" w14:textId="77777777" w:rsidR="00DC14A7" w:rsidRPr="00170EC7" w:rsidRDefault="00DC14A7" w:rsidP="00DC14A7">
      <w:pPr>
        <w:shd w:val="clear" w:color="auto" w:fill="FFFFFF"/>
        <w:spacing w:after="80" w:line="360" w:lineRule="auto"/>
        <w:rPr>
          <w:bCs/>
          <w:color w:val="000000"/>
          <w:spacing w:val="-13"/>
          <w:sz w:val="24"/>
          <w:szCs w:val="28"/>
          <w:u w:val="single"/>
        </w:rPr>
      </w:pPr>
      <w:r w:rsidRPr="00170EC7">
        <w:rPr>
          <w:bCs/>
          <w:color w:val="000000"/>
          <w:spacing w:val="-13"/>
          <w:sz w:val="24"/>
          <w:szCs w:val="28"/>
          <w:u w:val="single"/>
        </w:rPr>
        <w:t xml:space="preserve">Medzinárodné právo </w:t>
      </w:r>
      <w:r>
        <w:rPr>
          <w:bCs/>
          <w:color w:val="000000"/>
          <w:spacing w:val="-13"/>
          <w:sz w:val="24"/>
          <w:szCs w:val="28"/>
          <w:u w:val="single"/>
        </w:rPr>
        <w:t>verejné</w:t>
      </w:r>
    </w:p>
    <w:p w14:paraId="34583FFA" w14:textId="5D81B4C2" w:rsidR="006F4B4E" w:rsidRPr="00126B5D" w:rsidRDefault="00DC6746" w:rsidP="00170EC7">
      <w:pPr>
        <w:pStyle w:val="Odsekzoznamu"/>
        <w:numPr>
          <w:ilvl w:val="0"/>
          <w:numId w:val="8"/>
        </w:numPr>
        <w:shd w:val="clear" w:color="auto" w:fill="FFFFFF"/>
        <w:spacing w:after="80" w:line="360" w:lineRule="auto"/>
        <w:ind w:left="705"/>
        <w:rPr>
          <w:b/>
          <w:bCs/>
          <w:color w:val="000000"/>
          <w:spacing w:val="-13"/>
          <w:sz w:val="24"/>
          <w:szCs w:val="24"/>
        </w:rPr>
      </w:pPr>
      <w:r w:rsidRPr="00126B5D">
        <w:rPr>
          <w:b/>
          <w:bCs/>
          <w:color w:val="000000"/>
          <w:spacing w:val="-13"/>
          <w:sz w:val="24"/>
          <w:szCs w:val="24"/>
        </w:rPr>
        <w:t xml:space="preserve">Rada OSN pre ľudské práva a jej Univerzálne periodické hodnotenie </w:t>
      </w:r>
    </w:p>
    <w:p w14:paraId="54004FDD" w14:textId="37DC6F32" w:rsidR="00813A3C" w:rsidRDefault="00813A3C" w:rsidP="00170EC7">
      <w:pPr>
        <w:shd w:val="clear" w:color="auto" w:fill="FFFFFF"/>
        <w:spacing w:after="80"/>
        <w:ind w:left="426" w:firstLine="282"/>
        <w:jc w:val="both"/>
        <w:rPr>
          <w:bCs/>
          <w:i/>
          <w:spacing w:val="-13"/>
          <w:szCs w:val="24"/>
        </w:rPr>
      </w:pPr>
      <w:r w:rsidRPr="00813A3C">
        <w:rPr>
          <w:bCs/>
          <w:i/>
          <w:spacing w:val="-13"/>
          <w:szCs w:val="24"/>
        </w:rPr>
        <w:t>Ochrana ľudských práv je jedným zo základných cieľov Miléniovej deklarácie Valného zhromaždenia (VZ) OSN, pričom tejto agende sa venuje niekoľko orgánov – Rada OSN pre ľudské práva (RĽP, resp. Rada), Úrad vysokého komisára OSN pre ľudské práva a 3. výbor VZ OSN.</w:t>
      </w:r>
      <w:r>
        <w:rPr>
          <w:bCs/>
          <w:i/>
          <w:spacing w:val="-13"/>
          <w:szCs w:val="24"/>
        </w:rPr>
        <w:t xml:space="preserve"> </w:t>
      </w:r>
      <w:r w:rsidR="00176830" w:rsidRPr="00176830">
        <w:rPr>
          <w:bCs/>
          <w:i/>
          <w:spacing w:val="-13"/>
          <w:szCs w:val="24"/>
        </w:rPr>
        <w:t xml:space="preserve">RĽP </w:t>
      </w:r>
      <w:r w:rsidR="00CF1C9A">
        <w:rPr>
          <w:bCs/>
          <w:i/>
          <w:spacing w:val="-13"/>
          <w:szCs w:val="24"/>
        </w:rPr>
        <w:t xml:space="preserve">je </w:t>
      </w:r>
      <w:r w:rsidR="00176830" w:rsidRPr="00176830">
        <w:rPr>
          <w:bCs/>
          <w:i/>
          <w:spacing w:val="-13"/>
          <w:szCs w:val="24"/>
        </w:rPr>
        <w:t>pomocným (subsidiárnym) orgánom VZ OSN.</w:t>
      </w:r>
      <w:r w:rsidR="00243F01">
        <w:rPr>
          <w:bCs/>
          <w:i/>
          <w:spacing w:val="-13"/>
          <w:szCs w:val="24"/>
        </w:rPr>
        <w:t xml:space="preserve"> </w:t>
      </w:r>
      <w:r w:rsidR="00243F01" w:rsidRPr="00243F01">
        <w:rPr>
          <w:bCs/>
          <w:i/>
          <w:spacing w:val="-13"/>
          <w:szCs w:val="24"/>
        </w:rPr>
        <w:t xml:space="preserve">Rezolúcia VZ OSN 60/251 poskytuje Rade potrebné prostriedky pre posudzovanie </w:t>
      </w:r>
      <w:proofErr w:type="spellStart"/>
      <w:r w:rsidR="00243F01" w:rsidRPr="00243F01">
        <w:rPr>
          <w:bCs/>
          <w:i/>
          <w:spacing w:val="-13"/>
          <w:szCs w:val="24"/>
        </w:rPr>
        <w:t>ľudskoprávnych</w:t>
      </w:r>
      <w:proofErr w:type="spellEnd"/>
      <w:r w:rsidR="00243F01" w:rsidRPr="00243F01">
        <w:rPr>
          <w:bCs/>
          <w:i/>
          <w:spacing w:val="-13"/>
          <w:szCs w:val="24"/>
        </w:rPr>
        <w:t xml:space="preserve"> situácií a prijímanie rozhodnutí. Poslaním Rady je efektívne riešiť vzniknuté a dlhodobo pretrvávajúce krízové situácie v oblasti ľudských práv a hľadať inovatívne spôsoby ich riešenia.</w:t>
      </w:r>
    </w:p>
    <w:p w14:paraId="7A41A4C4" w14:textId="2FAC4D20" w:rsidR="00052FEB" w:rsidRDefault="00052FEB" w:rsidP="00170EC7">
      <w:pPr>
        <w:shd w:val="clear" w:color="auto" w:fill="FFFFFF"/>
        <w:spacing w:after="80"/>
        <w:ind w:left="426" w:firstLine="282"/>
        <w:jc w:val="both"/>
        <w:rPr>
          <w:bCs/>
          <w:i/>
          <w:spacing w:val="-13"/>
          <w:szCs w:val="24"/>
        </w:rPr>
      </w:pPr>
      <w:r w:rsidRPr="00052FEB">
        <w:rPr>
          <w:bCs/>
          <w:i/>
          <w:spacing w:val="-13"/>
          <w:szCs w:val="24"/>
        </w:rPr>
        <w:t xml:space="preserve">Univerzálne periodické hodnotenie </w:t>
      </w:r>
      <w:r w:rsidR="00CB6672">
        <w:rPr>
          <w:bCs/>
          <w:i/>
          <w:spacing w:val="-13"/>
          <w:szCs w:val="24"/>
        </w:rPr>
        <w:t xml:space="preserve">(UPH, Hodnotenie) </w:t>
      </w:r>
      <w:r w:rsidRPr="00052FEB">
        <w:rPr>
          <w:bCs/>
          <w:i/>
          <w:spacing w:val="-13"/>
          <w:szCs w:val="24"/>
        </w:rPr>
        <w:t>je mechanizmom Rady</w:t>
      </w:r>
      <w:r w:rsidR="007048D3">
        <w:rPr>
          <w:bCs/>
          <w:i/>
          <w:spacing w:val="-13"/>
          <w:szCs w:val="24"/>
        </w:rPr>
        <w:t xml:space="preserve">, </w:t>
      </w:r>
      <w:r w:rsidRPr="00052FEB">
        <w:rPr>
          <w:bCs/>
          <w:i/>
          <w:spacing w:val="-13"/>
          <w:szCs w:val="24"/>
        </w:rPr>
        <w:t>v rámci ktorého je v štvorročných intervaloch komplexne posudzovaný stav ochrany a podpory ľudských práv vo všetkých členských štátov OSN. Hodnotenie prebieha v príslušnej Pracovnej skupine pre Univerzálne periodické hodnotenie zloženej z členov a pozorovateľských krajín RĽP.</w:t>
      </w:r>
    </w:p>
    <w:p w14:paraId="69A5D0A4" w14:textId="0342A68F" w:rsidR="0009050E" w:rsidRDefault="00642622" w:rsidP="00170EC7">
      <w:pPr>
        <w:shd w:val="clear" w:color="auto" w:fill="FFFFFF"/>
        <w:spacing w:after="80"/>
        <w:ind w:left="426" w:firstLine="282"/>
        <w:jc w:val="both"/>
        <w:rPr>
          <w:bCs/>
          <w:i/>
          <w:spacing w:val="-13"/>
          <w:szCs w:val="24"/>
        </w:rPr>
      </w:pPr>
      <w:r>
        <w:rPr>
          <w:bCs/>
          <w:i/>
          <w:spacing w:val="-13"/>
          <w:szCs w:val="24"/>
        </w:rPr>
        <w:t>Cieľom práce je analýza a kritické zhodnotenie efektivity UPH</w:t>
      </w:r>
      <w:r w:rsidR="00CB6672">
        <w:rPr>
          <w:bCs/>
          <w:i/>
          <w:spacing w:val="-13"/>
          <w:szCs w:val="24"/>
        </w:rPr>
        <w:t>, prípadný návrh riešení pre zlepšenie funkcionality tohto inštitútu</w:t>
      </w:r>
      <w:r w:rsidR="00C11F78">
        <w:rPr>
          <w:bCs/>
          <w:i/>
          <w:spacing w:val="-13"/>
          <w:szCs w:val="24"/>
        </w:rPr>
        <w:t>.</w:t>
      </w:r>
      <w:r w:rsidR="00CB6672">
        <w:rPr>
          <w:bCs/>
          <w:i/>
          <w:spacing w:val="-13"/>
          <w:szCs w:val="24"/>
        </w:rPr>
        <w:t>.</w:t>
      </w:r>
    </w:p>
    <w:p w14:paraId="0C9B1591" w14:textId="77777777" w:rsidR="00CB6672" w:rsidRPr="00170EC7" w:rsidRDefault="00CB6672" w:rsidP="00170EC7">
      <w:pPr>
        <w:shd w:val="clear" w:color="auto" w:fill="FFFFFF"/>
        <w:spacing w:after="80"/>
        <w:ind w:left="426" w:firstLine="282"/>
        <w:jc w:val="both"/>
        <w:rPr>
          <w:bCs/>
          <w:i/>
          <w:spacing w:val="-13"/>
          <w:szCs w:val="24"/>
        </w:rPr>
      </w:pPr>
    </w:p>
    <w:p w14:paraId="389B23C6" w14:textId="38938F47" w:rsidR="00DC6746" w:rsidRPr="00126B5D" w:rsidRDefault="00DC6746" w:rsidP="00170EC7">
      <w:pPr>
        <w:pStyle w:val="Odsekzoznamu"/>
        <w:numPr>
          <w:ilvl w:val="0"/>
          <w:numId w:val="8"/>
        </w:numPr>
        <w:shd w:val="clear" w:color="auto" w:fill="FFFFFF"/>
        <w:spacing w:after="80" w:line="360" w:lineRule="auto"/>
        <w:ind w:left="705"/>
        <w:rPr>
          <w:b/>
          <w:bCs/>
          <w:color w:val="000000"/>
          <w:spacing w:val="-13"/>
          <w:sz w:val="24"/>
          <w:szCs w:val="24"/>
        </w:rPr>
      </w:pPr>
      <w:r w:rsidRPr="00126B5D">
        <w:rPr>
          <w:b/>
          <w:bCs/>
          <w:color w:val="000000"/>
          <w:spacing w:val="-13"/>
          <w:sz w:val="24"/>
          <w:szCs w:val="24"/>
        </w:rPr>
        <w:t>Komparatívna štúdia regionálnych systémov na ochranu ľudských práv a</w:t>
      </w:r>
      <w:r w:rsidR="00CB6672" w:rsidRPr="00126B5D">
        <w:rPr>
          <w:b/>
          <w:bCs/>
          <w:color w:val="000000"/>
          <w:spacing w:val="-13"/>
          <w:sz w:val="24"/>
          <w:szCs w:val="24"/>
        </w:rPr>
        <w:t> </w:t>
      </w:r>
      <w:r w:rsidRPr="00126B5D">
        <w:rPr>
          <w:b/>
          <w:bCs/>
          <w:color w:val="000000"/>
          <w:spacing w:val="-13"/>
          <w:sz w:val="24"/>
          <w:szCs w:val="24"/>
        </w:rPr>
        <w:t>slobôd</w:t>
      </w:r>
    </w:p>
    <w:p w14:paraId="4D83D565" w14:textId="457B2FE2" w:rsidR="00CB6672" w:rsidRDefault="001574F8" w:rsidP="00170EC7">
      <w:pPr>
        <w:shd w:val="clear" w:color="auto" w:fill="FFFFFF"/>
        <w:spacing w:after="80"/>
        <w:ind w:left="426" w:firstLine="282"/>
        <w:jc w:val="both"/>
        <w:rPr>
          <w:bCs/>
          <w:i/>
          <w:spacing w:val="-13"/>
          <w:szCs w:val="24"/>
        </w:rPr>
      </w:pPr>
      <w:r>
        <w:rPr>
          <w:bCs/>
          <w:i/>
          <w:spacing w:val="-13"/>
          <w:szCs w:val="24"/>
        </w:rPr>
        <w:t>S</w:t>
      </w:r>
      <w:r w:rsidR="00D2133C" w:rsidRPr="00D2133C">
        <w:rPr>
          <w:bCs/>
          <w:i/>
          <w:spacing w:val="-13"/>
          <w:szCs w:val="24"/>
        </w:rPr>
        <w:t>naha o</w:t>
      </w:r>
      <w:r>
        <w:rPr>
          <w:bCs/>
          <w:i/>
          <w:spacing w:val="-13"/>
          <w:szCs w:val="24"/>
        </w:rPr>
        <w:t xml:space="preserve"> dodržiavanie spoločných princípov rešpektovania ľudskej dôstojnosti a </w:t>
      </w:r>
      <w:r w:rsidR="00D2133C" w:rsidRPr="00D2133C">
        <w:rPr>
          <w:bCs/>
          <w:i/>
          <w:spacing w:val="-13"/>
          <w:szCs w:val="24"/>
        </w:rPr>
        <w:t>o</w:t>
      </w:r>
      <w:r w:rsidR="0036472F" w:rsidRPr="00D2133C">
        <w:rPr>
          <w:bCs/>
          <w:i/>
          <w:spacing w:val="-13"/>
          <w:szCs w:val="24"/>
        </w:rPr>
        <w:t>chran</w:t>
      </w:r>
      <w:r w:rsidR="00D2133C" w:rsidRPr="00D2133C">
        <w:rPr>
          <w:bCs/>
          <w:i/>
          <w:spacing w:val="-13"/>
          <w:szCs w:val="24"/>
        </w:rPr>
        <w:t>u</w:t>
      </w:r>
      <w:r w:rsidR="0036472F" w:rsidRPr="00D2133C">
        <w:rPr>
          <w:bCs/>
          <w:i/>
          <w:spacing w:val="-13"/>
          <w:szCs w:val="24"/>
        </w:rPr>
        <w:t xml:space="preserve"> ľudských práv pre</w:t>
      </w:r>
      <w:r w:rsidR="00D2133C">
        <w:rPr>
          <w:bCs/>
          <w:i/>
          <w:spacing w:val="-13"/>
          <w:szCs w:val="24"/>
        </w:rPr>
        <w:t xml:space="preserve">bieha na niekoľkých úrovniach. </w:t>
      </w:r>
      <w:r w:rsidR="003334D1">
        <w:rPr>
          <w:bCs/>
          <w:i/>
          <w:spacing w:val="-13"/>
          <w:szCs w:val="24"/>
        </w:rPr>
        <w:t xml:space="preserve">Globálne túto tému pokrýva </w:t>
      </w:r>
      <w:r w:rsidR="007F3B72">
        <w:rPr>
          <w:bCs/>
          <w:i/>
          <w:spacing w:val="-13"/>
          <w:szCs w:val="24"/>
        </w:rPr>
        <w:t xml:space="preserve">najmä </w:t>
      </w:r>
      <w:r w:rsidR="003334D1">
        <w:rPr>
          <w:bCs/>
          <w:i/>
          <w:spacing w:val="-13"/>
          <w:szCs w:val="24"/>
        </w:rPr>
        <w:t xml:space="preserve">systém </w:t>
      </w:r>
      <w:r w:rsidR="00E476C5">
        <w:rPr>
          <w:bCs/>
          <w:i/>
          <w:spacing w:val="-13"/>
          <w:szCs w:val="24"/>
        </w:rPr>
        <w:t xml:space="preserve">vytvorený </w:t>
      </w:r>
      <w:r w:rsidR="003334D1">
        <w:rPr>
          <w:bCs/>
          <w:i/>
          <w:spacing w:val="-13"/>
          <w:szCs w:val="24"/>
        </w:rPr>
        <w:t>Organizáci</w:t>
      </w:r>
      <w:r w:rsidR="00E476C5">
        <w:rPr>
          <w:bCs/>
          <w:i/>
          <w:spacing w:val="-13"/>
          <w:szCs w:val="24"/>
        </w:rPr>
        <w:t>ou</w:t>
      </w:r>
      <w:r w:rsidR="003334D1">
        <w:rPr>
          <w:bCs/>
          <w:i/>
          <w:spacing w:val="-13"/>
          <w:szCs w:val="24"/>
        </w:rPr>
        <w:t xml:space="preserve"> spojených národov. </w:t>
      </w:r>
      <w:r w:rsidR="00A44938">
        <w:rPr>
          <w:bCs/>
          <w:i/>
          <w:spacing w:val="-13"/>
          <w:szCs w:val="24"/>
        </w:rPr>
        <w:t>Na regionálnej úrovni boli vytvorené niektoré systémy – európsky, africký, americký, ázijský</w:t>
      </w:r>
      <w:r w:rsidR="00B42D30">
        <w:rPr>
          <w:bCs/>
          <w:i/>
          <w:spacing w:val="-13"/>
          <w:szCs w:val="24"/>
        </w:rPr>
        <w:t>, ktorých úlohou je de</w:t>
      </w:r>
      <w:r w:rsidR="009D3C80">
        <w:rPr>
          <w:bCs/>
          <w:i/>
          <w:spacing w:val="-13"/>
          <w:szCs w:val="24"/>
        </w:rPr>
        <w:t xml:space="preserve">centralizovať globálny systém, odbremeniť ho a preniesť časť </w:t>
      </w:r>
      <w:r w:rsidR="00665B49">
        <w:rPr>
          <w:bCs/>
          <w:i/>
          <w:spacing w:val="-13"/>
          <w:szCs w:val="24"/>
        </w:rPr>
        <w:t xml:space="preserve">ochrany </w:t>
      </w:r>
      <w:proofErr w:type="spellStart"/>
      <w:r w:rsidR="009D3C80">
        <w:rPr>
          <w:bCs/>
          <w:i/>
          <w:spacing w:val="-13"/>
          <w:szCs w:val="24"/>
        </w:rPr>
        <w:t>ľudskoprávnych</w:t>
      </w:r>
      <w:proofErr w:type="spellEnd"/>
      <w:r w:rsidR="009D3C80">
        <w:rPr>
          <w:bCs/>
          <w:i/>
          <w:spacing w:val="-13"/>
          <w:szCs w:val="24"/>
        </w:rPr>
        <w:t xml:space="preserve"> </w:t>
      </w:r>
      <w:r w:rsidR="00665B49">
        <w:rPr>
          <w:bCs/>
          <w:i/>
          <w:spacing w:val="-13"/>
          <w:szCs w:val="24"/>
        </w:rPr>
        <w:t xml:space="preserve">štandardov do </w:t>
      </w:r>
      <w:r w:rsidR="001F339D">
        <w:rPr>
          <w:bCs/>
          <w:i/>
          <w:spacing w:val="-13"/>
          <w:szCs w:val="24"/>
        </w:rPr>
        <w:t>kompetencie regionálne prístupnejších inštitúcii</w:t>
      </w:r>
      <w:r w:rsidR="00D53075">
        <w:rPr>
          <w:bCs/>
          <w:i/>
          <w:spacing w:val="-13"/>
          <w:szCs w:val="24"/>
        </w:rPr>
        <w:t xml:space="preserve">. </w:t>
      </w:r>
    </w:p>
    <w:p w14:paraId="2F2A5C5F" w14:textId="77777777" w:rsidR="007F3B72" w:rsidRDefault="00D53075" w:rsidP="00170EC7">
      <w:pPr>
        <w:shd w:val="clear" w:color="auto" w:fill="FFFFFF"/>
        <w:spacing w:after="80"/>
        <w:ind w:left="426" w:firstLine="282"/>
        <w:jc w:val="both"/>
        <w:rPr>
          <w:bCs/>
          <w:i/>
          <w:spacing w:val="-13"/>
          <w:szCs w:val="24"/>
        </w:rPr>
      </w:pPr>
      <w:r>
        <w:rPr>
          <w:bCs/>
          <w:i/>
          <w:spacing w:val="-13"/>
          <w:szCs w:val="24"/>
        </w:rPr>
        <w:t xml:space="preserve">Cieľom rigoróznej práce </w:t>
      </w:r>
      <w:r w:rsidR="00CB53D6">
        <w:rPr>
          <w:bCs/>
          <w:i/>
          <w:spacing w:val="-13"/>
          <w:szCs w:val="24"/>
        </w:rPr>
        <w:t xml:space="preserve">bude </w:t>
      </w:r>
      <w:r w:rsidR="00322E05">
        <w:rPr>
          <w:bCs/>
          <w:i/>
          <w:spacing w:val="-13"/>
          <w:szCs w:val="24"/>
        </w:rPr>
        <w:t xml:space="preserve">determinovať </w:t>
      </w:r>
      <w:r w:rsidR="00700CCA">
        <w:rPr>
          <w:bCs/>
          <w:i/>
          <w:spacing w:val="-13"/>
          <w:szCs w:val="24"/>
        </w:rPr>
        <w:t xml:space="preserve">samostatne každý systém a následne porovnať </w:t>
      </w:r>
      <w:r w:rsidR="00CB53D6">
        <w:rPr>
          <w:bCs/>
          <w:i/>
          <w:spacing w:val="-13"/>
          <w:szCs w:val="24"/>
        </w:rPr>
        <w:t>jeho hmotnoprávne a</w:t>
      </w:r>
      <w:r w:rsidR="007D7386">
        <w:rPr>
          <w:bCs/>
          <w:i/>
          <w:spacing w:val="-13"/>
          <w:szCs w:val="24"/>
        </w:rPr>
        <w:t> </w:t>
      </w:r>
      <w:r w:rsidR="00CB53D6">
        <w:rPr>
          <w:bCs/>
          <w:i/>
          <w:spacing w:val="-13"/>
          <w:szCs w:val="24"/>
        </w:rPr>
        <w:t>procesnoprávne</w:t>
      </w:r>
      <w:r w:rsidR="007D7386">
        <w:rPr>
          <w:bCs/>
          <w:i/>
          <w:spacing w:val="-13"/>
          <w:szCs w:val="24"/>
        </w:rPr>
        <w:t xml:space="preserve"> špecifiká</w:t>
      </w:r>
      <w:r w:rsidR="00CB53D6">
        <w:rPr>
          <w:bCs/>
          <w:i/>
          <w:spacing w:val="-13"/>
          <w:szCs w:val="24"/>
        </w:rPr>
        <w:t xml:space="preserve">, </w:t>
      </w:r>
      <w:r w:rsidR="00745CE3">
        <w:rPr>
          <w:bCs/>
          <w:i/>
          <w:spacing w:val="-13"/>
          <w:szCs w:val="24"/>
        </w:rPr>
        <w:t xml:space="preserve">efektivitu a hospodárnosť konaní </w:t>
      </w:r>
      <w:r w:rsidR="002C649D">
        <w:rPr>
          <w:bCs/>
          <w:i/>
          <w:spacing w:val="-13"/>
          <w:szCs w:val="24"/>
        </w:rPr>
        <w:t>a iné elementy súvisiace so súdnymi a kvázi – súdnymi mechanizmami</w:t>
      </w:r>
      <w:r w:rsidR="007F3B72">
        <w:rPr>
          <w:bCs/>
          <w:i/>
          <w:spacing w:val="-13"/>
          <w:szCs w:val="24"/>
        </w:rPr>
        <w:t>, ktoré v rámci nich existujú.</w:t>
      </w:r>
    </w:p>
    <w:p w14:paraId="385C51E2" w14:textId="5381A1D5" w:rsidR="00D53075" w:rsidRPr="00D2133C" w:rsidRDefault="002C649D" w:rsidP="00170EC7">
      <w:pPr>
        <w:shd w:val="clear" w:color="auto" w:fill="FFFFFF"/>
        <w:spacing w:after="80"/>
        <w:ind w:left="426" w:firstLine="282"/>
        <w:jc w:val="both"/>
        <w:rPr>
          <w:bCs/>
          <w:i/>
          <w:spacing w:val="-13"/>
          <w:szCs w:val="24"/>
        </w:rPr>
      </w:pPr>
      <w:r>
        <w:rPr>
          <w:bCs/>
          <w:i/>
          <w:spacing w:val="-13"/>
          <w:szCs w:val="24"/>
        </w:rPr>
        <w:t xml:space="preserve"> </w:t>
      </w:r>
    </w:p>
    <w:p w14:paraId="6D7F72CF" w14:textId="77777777" w:rsidR="00126B5D" w:rsidRPr="00126B5D" w:rsidRDefault="00126B5D" w:rsidP="00170EC7">
      <w:pPr>
        <w:pStyle w:val="Odsekzoznamu"/>
        <w:numPr>
          <w:ilvl w:val="0"/>
          <w:numId w:val="8"/>
        </w:numPr>
        <w:spacing w:after="80"/>
        <w:ind w:left="709"/>
        <w:rPr>
          <w:b/>
          <w:sz w:val="24"/>
          <w:szCs w:val="24"/>
          <w:lang w:eastAsia="en-US"/>
        </w:rPr>
      </w:pPr>
      <w:r w:rsidRPr="00126B5D">
        <w:rPr>
          <w:b/>
          <w:sz w:val="24"/>
          <w:szCs w:val="24"/>
          <w:lang w:eastAsia="en-US"/>
        </w:rPr>
        <w:t>Použitie sily a medzinárodné právo.</w:t>
      </w:r>
    </w:p>
    <w:p w14:paraId="20159F8C" w14:textId="77777777" w:rsidR="00126B5D" w:rsidRPr="00170EC7" w:rsidRDefault="00126B5D" w:rsidP="00170EC7">
      <w:pPr>
        <w:spacing w:after="80"/>
        <w:ind w:left="426" w:firstLine="283"/>
        <w:rPr>
          <w:i/>
          <w:szCs w:val="24"/>
          <w:lang w:eastAsia="en-US"/>
        </w:rPr>
      </w:pPr>
      <w:r w:rsidRPr="00170EC7">
        <w:rPr>
          <w:i/>
          <w:szCs w:val="24"/>
          <w:lang w:eastAsia="en-US"/>
        </w:rPr>
        <w:t>Požitie sily v medzinárodných vzťahoch je jedna z najkontroverznejších tém v medzinárodnom práve. Štáty rôzne interpretujú základné pravidlá pre použite sily upravené v Charte OSN. Kontra verzie vyvoláva použitie sily pri humanitárnej intervencii a použite sily pri seba obrane štátov. Rigorózna práca by mala charakterizovať použitie sily v súčasnom medzinárodnom práve, popísať vývoj jednotlivých inštitútov a poukázať na aktuálne problémy pri aplikácii medzinárodného práva v tejto oblasti.  Úloha Bezpečnostnej rady OSN a mier udržujúcich akcií OSN je podnetom na spracovanie tejto témy.</w:t>
      </w:r>
    </w:p>
    <w:p w14:paraId="7896893C" w14:textId="77777777" w:rsidR="00126B5D" w:rsidRPr="00170EC7" w:rsidRDefault="00126B5D" w:rsidP="00170EC7">
      <w:pPr>
        <w:spacing w:after="80"/>
        <w:ind w:left="360"/>
        <w:rPr>
          <w:i/>
          <w:szCs w:val="24"/>
          <w:lang w:eastAsia="en-US"/>
        </w:rPr>
      </w:pPr>
    </w:p>
    <w:p w14:paraId="421BB8A9" w14:textId="77777777" w:rsidR="00126B5D" w:rsidRPr="00126B5D" w:rsidRDefault="00126B5D" w:rsidP="00170EC7">
      <w:pPr>
        <w:pStyle w:val="Odsekzoznamu"/>
        <w:numPr>
          <w:ilvl w:val="0"/>
          <w:numId w:val="8"/>
        </w:numPr>
        <w:spacing w:after="80"/>
        <w:ind w:left="709"/>
        <w:rPr>
          <w:b/>
          <w:sz w:val="24"/>
          <w:szCs w:val="24"/>
          <w:lang w:eastAsia="en-US"/>
        </w:rPr>
      </w:pPr>
      <w:r w:rsidRPr="00126B5D">
        <w:rPr>
          <w:b/>
          <w:sz w:val="24"/>
          <w:szCs w:val="24"/>
          <w:lang w:eastAsia="en-US"/>
        </w:rPr>
        <w:t>Medzinárodná ochrana investícií</w:t>
      </w:r>
    </w:p>
    <w:p w14:paraId="47A572D5" w14:textId="77777777" w:rsidR="00126B5D" w:rsidRPr="00170EC7" w:rsidRDefault="00126B5D" w:rsidP="00170EC7">
      <w:pPr>
        <w:spacing w:after="80"/>
        <w:ind w:left="426" w:firstLine="283"/>
        <w:rPr>
          <w:i/>
          <w:szCs w:val="24"/>
          <w:lang w:eastAsia="en-US"/>
        </w:rPr>
      </w:pPr>
      <w:r w:rsidRPr="00170EC7">
        <w:rPr>
          <w:i/>
          <w:szCs w:val="24"/>
          <w:lang w:eastAsia="en-US"/>
        </w:rPr>
        <w:t xml:space="preserve">Rigorózna práca je zameraná na medzi zahraničným investorom a hostiteľským štátom. Táto oblasť medzinárodného  práva je stále vo veľkej miere ovplyvňovaná judikatúrou medzinárodných súdnych orgánov a prameňom tejto oblasti je medzinárodné obyčajové právo, dvojstranné medzinárodné zmluvy. </w:t>
      </w:r>
      <w:r w:rsidRPr="00170EC7">
        <w:rPr>
          <w:i/>
          <w:szCs w:val="24"/>
          <w:lang w:eastAsia="en-US"/>
        </w:rPr>
        <w:lastRenderedPageBreak/>
        <w:t>Osobitne by sa autor mohol venovať riešeniu sporov medzi investorom a hostiteľským štátom, úlohou OSN, Svetovej banky a WTO pri regulácii vzťahov medzi investorom a hostiteľským štátom.</w:t>
      </w:r>
    </w:p>
    <w:p w14:paraId="31333883" w14:textId="77777777" w:rsidR="00126B5D" w:rsidRPr="00170EC7" w:rsidRDefault="00126B5D" w:rsidP="00170EC7">
      <w:pPr>
        <w:spacing w:after="80"/>
        <w:ind w:left="360"/>
        <w:rPr>
          <w:i/>
          <w:szCs w:val="24"/>
          <w:lang w:eastAsia="en-US"/>
        </w:rPr>
      </w:pPr>
    </w:p>
    <w:p w14:paraId="150BB8FB" w14:textId="77777777" w:rsidR="00126B5D" w:rsidRPr="00313CA7" w:rsidRDefault="00126B5D" w:rsidP="00170EC7">
      <w:pPr>
        <w:pStyle w:val="Odsekzoznamu"/>
        <w:numPr>
          <w:ilvl w:val="0"/>
          <w:numId w:val="8"/>
        </w:numPr>
        <w:spacing w:after="80"/>
        <w:ind w:left="709"/>
        <w:rPr>
          <w:b/>
          <w:sz w:val="24"/>
          <w:szCs w:val="24"/>
          <w:lang w:eastAsia="en-US"/>
        </w:rPr>
      </w:pPr>
      <w:r w:rsidRPr="00313CA7">
        <w:rPr>
          <w:b/>
          <w:sz w:val="24"/>
          <w:szCs w:val="24"/>
          <w:lang w:eastAsia="en-US"/>
        </w:rPr>
        <w:t>Medzinárodné trestné právo</w:t>
      </w:r>
    </w:p>
    <w:p w14:paraId="6D2FC0D6" w14:textId="77777777" w:rsidR="00126B5D" w:rsidRPr="00170EC7" w:rsidRDefault="00126B5D" w:rsidP="00170EC7">
      <w:pPr>
        <w:spacing w:after="80"/>
        <w:ind w:left="426" w:firstLine="283"/>
        <w:rPr>
          <w:i/>
          <w:szCs w:val="24"/>
          <w:lang w:eastAsia="en-US"/>
        </w:rPr>
      </w:pPr>
      <w:r w:rsidRPr="00313CA7">
        <w:rPr>
          <w:i/>
          <w:szCs w:val="24"/>
          <w:lang w:eastAsia="en-US"/>
        </w:rPr>
        <w:t>Rigorózna práca je zameraná na analýzu zodpovednosti jednotlivcov za  zločiny podľa medzinárodného práva. Práca by mala obsahovať popis jednotlivých zločinov podľa medzinárodného práva, ich zakotvenie v medzinárodnom a vnútroštátnom práve. Princípy vyvodzovania zodpovednosti za zločiny podľa medzinárodného práva. Taktiež práca môže popisovať procesné práva strán trestného konania. Bohatá judikatúra ICTY môže inšpirovať autora pri analýze jednotlivých inštitútov medzinárodného trestného práva.</w:t>
      </w:r>
    </w:p>
    <w:p w14:paraId="5C05B52C" w14:textId="77777777" w:rsidR="00126B5D" w:rsidRPr="00170EC7" w:rsidRDefault="00126B5D" w:rsidP="00170EC7">
      <w:pPr>
        <w:spacing w:after="80"/>
        <w:ind w:left="360"/>
        <w:rPr>
          <w:i/>
          <w:szCs w:val="24"/>
          <w:lang w:eastAsia="en-US"/>
        </w:rPr>
      </w:pPr>
    </w:p>
    <w:p w14:paraId="62043452" w14:textId="77777777" w:rsidR="00126B5D" w:rsidRPr="00170EC7" w:rsidRDefault="00126B5D" w:rsidP="00170EC7">
      <w:pPr>
        <w:pStyle w:val="Odsekzoznamu"/>
        <w:numPr>
          <w:ilvl w:val="0"/>
          <w:numId w:val="8"/>
        </w:numPr>
        <w:spacing w:after="80"/>
        <w:ind w:left="709"/>
        <w:rPr>
          <w:b/>
          <w:sz w:val="24"/>
          <w:szCs w:val="24"/>
          <w:lang w:eastAsia="en-US"/>
        </w:rPr>
      </w:pPr>
      <w:r w:rsidRPr="00170EC7">
        <w:rPr>
          <w:b/>
          <w:sz w:val="24"/>
          <w:szCs w:val="24"/>
          <w:lang w:eastAsia="en-US"/>
        </w:rPr>
        <w:t>Vznik a uznanie štátov</w:t>
      </w:r>
    </w:p>
    <w:p w14:paraId="0C93815C" w14:textId="77777777" w:rsidR="00126B5D" w:rsidRPr="00170EC7" w:rsidRDefault="00126B5D" w:rsidP="00170EC7">
      <w:pPr>
        <w:spacing w:after="80"/>
        <w:ind w:left="426" w:firstLine="283"/>
        <w:rPr>
          <w:i/>
          <w:szCs w:val="24"/>
          <w:lang w:eastAsia="en-US"/>
        </w:rPr>
      </w:pPr>
      <w:r w:rsidRPr="00170EC7">
        <w:rPr>
          <w:i/>
          <w:szCs w:val="24"/>
          <w:lang w:eastAsia="en-US"/>
        </w:rPr>
        <w:t xml:space="preserve">Vznik štátov je nesporné veľká téma pre medzinárodné spoločenstvo. Ide o jav </w:t>
      </w:r>
      <w:proofErr w:type="spellStart"/>
      <w:r w:rsidRPr="00170EC7">
        <w:rPr>
          <w:i/>
          <w:szCs w:val="24"/>
          <w:lang w:eastAsia="en-US"/>
        </w:rPr>
        <w:t>sociologicko</w:t>
      </w:r>
      <w:proofErr w:type="spellEnd"/>
      <w:r w:rsidRPr="00170EC7">
        <w:rPr>
          <w:i/>
          <w:szCs w:val="24"/>
          <w:lang w:eastAsia="en-US"/>
        </w:rPr>
        <w:t xml:space="preserve"> –politický. Má však nepochybne vplyv na stabilitu medzinárodných vzťahov. Rigorózna práca by sa mala zamerať na pramene právnej úpravy uznania štátov, vývoj inštitútu uznania štátov. Osobitne by mál autor spracovať medzinárodnú reguláciu jednostranného odštiepenia štátu. Medzinárodnoprávne aspekty vzniku Kosova by mali byť predmetom analýzy autora , podobne ako postavenie Palestíny.    </w:t>
      </w:r>
    </w:p>
    <w:p w14:paraId="6D402071" w14:textId="77777777" w:rsidR="00DC6746" w:rsidRDefault="00DC6746" w:rsidP="00313CA7">
      <w:pPr>
        <w:shd w:val="clear" w:color="auto" w:fill="FFFFFF"/>
        <w:tabs>
          <w:tab w:val="left" w:pos="5220"/>
        </w:tabs>
        <w:spacing w:after="120" w:line="360" w:lineRule="auto"/>
        <w:rPr>
          <w:b/>
          <w:bCs/>
          <w:color w:val="000000"/>
          <w:spacing w:val="-13"/>
          <w:sz w:val="24"/>
          <w:szCs w:val="24"/>
        </w:rPr>
      </w:pPr>
    </w:p>
    <w:p w14:paraId="73711185" w14:textId="499DF7FC" w:rsidR="003E27A5" w:rsidRPr="003E27A5" w:rsidRDefault="003E27A5" w:rsidP="00313CA7">
      <w:pPr>
        <w:shd w:val="clear" w:color="auto" w:fill="FFFFFF"/>
        <w:tabs>
          <w:tab w:val="left" w:pos="5220"/>
        </w:tabs>
        <w:spacing w:after="120" w:line="360" w:lineRule="auto"/>
        <w:rPr>
          <w:bCs/>
          <w:color w:val="000000"/>
          <w:spacing w:val="-13"/>
          <w:sz w:val="24"/>
          <w:szCs w:val="24"/>
          <w:u w:val="single"/>
        </w:rPr>
      </w:pPr>
      <w:r w:rsidRPr="003E27A5">
        <w:rPr>
          <w:bCs/>
          <w:color w:val="000000"/>
          <w:spacing w:val="-13"/>
          <w:sz w:val="24"/>
          <w:szCs w:val="24"/>
          <w:u w:val="single"/>
        </w:rPr>
        <w:t>Európske právo</w:t>
      </w:r>
    </w:p>
    <w:p w14:paraId="32238A45" w14:textId="4575B7CC" w:rsidR="00313CA7" w:rsidRPr="00313CA7" w:rsidRDefault="00313CA7" w:rsidP="00313CA7">
      <w:pPr>
        <w:pStyle w:val="Odsekzoznamu"/>
        <w:numPr>
          <w:ilvl w:val="0"/>
          <w:numId w:val="9"/>
        </w:numPr>
        <w:shd w:val="clear" w:color="auto" w:fill="FFFFFF"/>
        <w:tabs>
          <w:tab w:val="left" w:pos="5220"/>
        </w:tabs>
        <w:spacing w:after="120"/>
        <w:rPr>
          <w:b/>
          <w:sz w:val="24"/>
        </w:rPr>
      </w:pPr>
      <w:r>
        <w:rPr>
          <w:b/>
          <w:sz w:val="24"/>
        </w:rPr>
        <w:t xml:space="preserve">       </w:t>
      </w:r>
      <w:r w:rsidRPr="00313CA7">
        <w:rPr>
          <w:b/>
          <w:sz w:val="24"/>
        </w:rPr>
        <w:t>Prejudiciálne konanie ako nástroj na zabezpečenie jednotného výkladu úniového práva</w:t>
      </w:r>
    </w:p>
    <w:p w14:paraId="5376EF3C" w14:textId="77777777" w:rsidR="00313CA7" w:rsidRPr="00313CA7" w:rsidRDefault="00313CA7" w:rsidP="00313CA7">
      <w:pPr>
        <w:spacing w:after="120"/>
        <w:ind w:left="426"/>
        <w:rPr>
          <w:i/>
        </w:rPr>
      </w:pPr>
      <w:r w:rsidRPr="00313CA7">
        <w:rPr>
          <w:i/>
        </w:rPr>
        <w:t xml:space="preserve">Súdny dvor EÚ  považuje prejudiciálne konanie za osobitnú formu súdnej </w:t>
      </w:r>
      <w:proofErr w:type="spellStart"/>
      <w:r w:rsidRPr="00313CA7">
        <w:rPr>
          <w:i/>
        </w:rPr>
        <w:t>spolupráce,v</w:t>
      </w:r>
      <w:proofErr w:type="spellEnd"/>
      <w:r w:rsidRPr="00313CA7">
        <w:rPr>
          <w:i/>
        </w:rPr>
        <w:t xml:space="preserve"> ktorej sa snažia vnútroštátne súdy a Súdny dvor o jednotnú interpretáciu a aplikáciu práva </w:t>
      </w:r>
      <w:proofErr w:type="spellStart"/>
      <w:r w:rsidRPr="00313CA7">
        <w:rPr>
          <w:i/>
        </w:rPr>
        <w:t>práva</w:t>
      </w:r>
      <w:proofErr w:type="spellEnd"/>
      <w:r w:rsidRPr="00313CA7">
        <w:rPr>
          <w:i/>
        </w:rPr>
        <w:t xml:space="preserve"> </w:t>
      </w:r>
      <w:proofErr w:type="spellStart"/>
      <w:r w:rsidRPr="00313CA7">
        <w:rPr>
          <w:i/>
        </w:rPr>
        <w:t>EÚ.Rigorózna</w:t>
      </w:r>
      <w:proofErr w:type="spellEnd"/>
      <w:r w:rsidRPr="00313CA7">
        <w:rPr>
          <w:i/>
        </w:rPr>
        <w:t xml:space="preserve"> práca by mala obsahovať najnovšie trendy  vo vývoji tohto inštitútu a vyhodnotenie jeho aplikácie v SR.</w:t>
      </w:r>
    </w:p>
    <w:p w14:paraId="6751A1F9" w14:textId="77777777" w:rsidR="00313CA7" w:rsidRDefault="00313CA7" w:rsidP="00313CA7">
      <w:pPr>
        <w:shd w:val="clear" w:color="auto" w:fill="FFFFFF"/>
        <w:tabs>
          <w:tab w:val="left" w:pos="5220"/>
        </w:tabs>
        <w:spacing w:after="120" w:line="360" w:lineRule="auto"/>
        <w:rPr>
          <w:b/>
          <w:bCs/>
          <w:color w:val="000000"/>
          <w:spacing w:val="-13"/>
          <w:sz w:val="24"/>
          <w:szCs w:val="24"/>
        </w:rPr>
      </w:pPr>
    </w:p>
    <w:p w14:paraId="50297C5F" w14:textId="77777777" w:rsidR="00DC6746" w:rsidRDefault="00DC6746" w:rsidP="00313CA7">
      <w:pPr>
        <w:shd w:val="clear" w:color="auto" w:fill="FFFFFF"/>
        <w:tabs>
          <w:tab w:val="left" w:pos="5220"/>
        </w:tabs>
        <w:spacing w:after="120" w:line="360" w:lineRule="auto"/>
        <w:rPr>
          <w:b/>
          <w:bCs/>
          <w:color w:val="000000"/>
          <w:spacing w:val="-13"/>
          <w:sz w:val="24"/>
          <w:szCs w:val="24"/>
        </w:rPr>
      </w:pPr>
    </w:p>
    <w:p w14:paraId="629522F3" w14:textId="3FBC78BF" w:rsidR="00366A41" w:rsidRDefault="00776923" w:rsidP="00170EC7">
      <w:pPr>
        <w:shd w:val="clear" w:color="auto" w:fill="FFFFFF"/>
        <w:tabs>
          <w:tab w:val="left" w:pos="5220"/>
        </w:tabs>
        <w:spacing w:after="80" w:line="360" w:lineRule="auto"/>
        <w:rPr>
          <w:b/>
          <w:bCs/>
          <w:color w:val="000000"/>
          <w:spacing w:val="-13"/>
          <w:sz w:val="24"/>
          <w:szCs w:val="24"/>
        </w:rPr>
      </w:pPr>
      <w:r w:rsidRPr="00170EC7">
        <w:rPr>
          <w:b/>
          <w:bCs/>
          <w:color w:val="000000"/>
          <w:spacing w:val="-13"/>
          <w:sz w:val="24"/>
          <w:szCs w:val="24"/>
        </w:rPr>
        <w:t>V Banskej Bystrici, dňa</w:t>
      </w:r>
      <w:r w:rsidR="00AA431B" w:rsidRPr="00170EC7">
        <w:rPr>
          <w:b/>
          <w:bCs/>
          <w:color w:val="000000"/>
          <w:spacing w:val="-13"/>
          <w:sz w:val="24"/>
          <w:szCs w:val="24"/>
        </w:rPr>
        <w:t xml:space="preserve"> </w:t>
      </w:r>
      <w:r w:rsidR="00FA0032" w:rsidRPr="00170EC7">
        <w:rPr>
          <w:b/>
          <w:bCs/>
          <w:color w:val="000000"/>
          <w:spacing w:val="-13"/>
          <w:sz w:val="24"/>
          <w:szCs w:val="24"/>
        </w:rPr>
        <w:t>1</w:t>
      </w:r>
      <w:r w:rsidR="00B95595">
        <w:rPr>
          <w:b/>
          <w:bCs/>
          <w:color w:val="000000"/>
          <w:spacing w:val="-13"/>
          <w:sz w:val="24"/>
          <w:szCs w:val="24"/>
        </w:rPr>
        <w:t>0</w:t>
      </w:r>
      <w:r w:rsidR="00AA431B" w:rsidRPr="00170EC7">
        <w:rPr>
          <w:b/>
          <w:bCs/>
          <w:color w:val="000000"/>
          <w:spacing w:val="-13"/>
          <w:sz w:val="24"/>
          <w:szCs w:val="24"/>
        </w:rPr>
        <w:t>.</w:t>
      </w:r>
      <w:r w:rsidR="00FA0032" w:rsidRPr="00170EC7">
        <w:rPr>
          <w:b/>
          <w:bCs/>
          <w:color w:val="000000"/>
          <w:spacing w:val="-13"/>
          <w:sz w:val="24"/>
          <w:szCs w:val="24"/>
        </w:rPr>
        <w:t xml:space="preserve"> </w:t>
      </w:r>
      <w:r w:rsidR="00B95595">
        <w:rPr>
          <w:b/>
          <w:bCs/>
          <w:color w:val="000000"/>
          <w:spacing w:val="-13"/>
          <w:sz w:val="24"/>
          <w:szCs w:val="24"/>
        </w:rPr>
        <w:t>2</w:t>
      </w:r>
      <w:r w:rsidR="00AA431B" w:rsidRPr="00170EC7">
        <w:rPr>
          <w:b/>
          <w:bCs/>
          <w:color w:val="000000"/>
          <w:spacing w:val="-13"/>
          <w:sz w:val="24"/>
          <w:szCs w:val="24"/>
        </w:rPr>
        <w:t>.</w:t>
      </w:r>
      <w:r w:rsidR="00FA0032" w:rsidRPr="00170EC7">
        <w:rPr>
          <w:b/>
          <w:bCs/>
          <w:color w:val="000000"/>
          <w:spacing w:val="-13"/>
          <w:sz w:val="24"/>
          <w:szCs w:val="24"/>
        </w:rPr>
        <w:t xml:space="preserve"> </w:t>
      </w:r>
      <w:r w:rsidR="00AA431B" w:rsidRPr="00170EC7">
        <w:rPr>
          <w:b/>
          <w:bCs/>
          <w:color w:val="000000"/>
          <w:spacing w:val="-13"/>
          <w:sz w:val="24"/>
          <w:szCs w:val="24"/>
        </w:rPr>
        <w:t>20</w:t>
      </w:r>
      <w:r w:rsidR="00B95595">
        <w:rPr>
          <w:b/>
          <w:bCs/>
          <w:color w:val="000000"/>
          <w:spacing w:val="-13"/>
          <w:sz w:val="24"/>
          <w:szCs w:val="24"/>
        </w:rPr>
        <w:t>23</w:t>
      </w:r>
      <w:bookmarkStart w:id="0" w:name="_GoBack"/>
      <w:bookmarkEnd w:id="0"/>
      <w:r w:rsidR="00AA431B" w:rsidRPr="00170EC7">
        <w:rPr>
          <w:b/>
          <w:bCs/>
          <w:color w:val="000000"/>
          <w:spacing w:val="-13"/>
          <w:sz w:val="24"/>
          <w:szCs w:val="24"/>
        </w:rPr>
        <w:tab/>
      </w:r>
      <w:r w:rsidR="00366A41" w:rsidRPr="00170EC7">
        <w:rPr>
          <w:b/>
          <w:bCs/>
          <w:color w:val="000000"/>
          <w:spacing w:val="-13"/>
          <w:sz w:val="24"/>
          <w:szCs w:val="24"/>
        </w:rPr>
        <w:t xml:space="preserve">Doc. JUDr. Vlasta </w:t>
      </w:r>
      <w:proofErr w:type="spellStart"/>
      <w:r w:rsidR="00366A41" w:rsidRPr="00170EC7">
        <w:rPr>
          <w:b/>
          <w:bCs/>
          <w:color w:val="000000"/>
          <w:spacing w:val="-13"/>
          <w:sz w:val="24"/>
          <w:szCs w:val="24"/>
        </w:rPr>
        <w:t>Kunová</w:t>
      </w:r>
      <w:proofErr w:type="spellEnd"/>
      <w:r w:rsidR="00366A41" w:rsidRPr="00170EC7">
        <w:rPr>
          <w:b/>
          <w:bCs/>
          <w:color w:val="000000"/>
          <w:spacing w:val="-13"/>
          <w:sz w:val="24"/>
          <w:szCs w:val="24"/>
        </w:rPr>
        <w:t>, CSc.</w:t>
      </w:r>
    </w:p>
    <w:p w14:paraId="687DB8FA" w14:textId="56B5702B" w:rsidR="00B23811" w:rsidRDefault="00366A41" w:rsidP="00B95595">
      <w:pPr>
        <w:shd w:val="clear" w:color="auto" w:fill="FFFFFF"/>
        <w:tabs>
          <w:tab w:val="left" w:pos="5103"/>
        </w:tabs>
        <w:spacing w:after="80" w:line="360" w:lineRule="auto"/>
        <w:rPr>
          <w:b/>
          <w:bCs/>
          <w:color w:val="000000"/>
          <w:spacing w:val="-13"/>
          <w:sz w:val="24"/>
          <w:szCs w:val="24"/>
        </w:rPr>
      </w:pPr>
      <w:r>
        <w:rPr>
          <w:b/>
          <w:bCs/>
          <w:color w:val="000000"/>
          <w:spacing w:val="-13"/>
          <w:sz w:val="24"/>
          <w:szCs w:val="24"/>
        </w:rPr>
        <w:tab/>
      </w:r>
      <w:r w:rsidR="00B23811">
        <w:rPr>
          <w:b/>
          <w:bCs/>
          <w:color w:val="000000"/>
          <w:spacing w:val="-13"/>
          <w:sz w:val="24"/>
          <w:szCs w:val="24"/>
        </w:rPr>
        <w:t>JUDr. Elena Júdová, PhD.</w:t>
      </w:r>
    </w:p>
    <w:p w14:paraId="3A2E4B21" w14:textId="77777777" w:rsidR="00222EF1" w:rsidRPr="00776923" w:rsidRDefault="00222EF1" w:rsidP="00B95595">
      <w:pPr>
        <w:shd w:val="clear" w:color="auto" w:fill="FFFFFF"/>
        <w:tabs>
          <w:tab w:val="left" w:pos="5103"/>
        </w:tabs>
        <w:spacing w:after="80" w:line="360" w:lineRule="auto"/>
        <w:ind w:left="5103"/>
        <w:rPr>
          <w:b/>
          <w:bCs/>
          <w:color w:val="000000"/>
          <w:spacing w:val="-13"/>
          <w:sz w:val="24"/>
          <w:szCs w:val="24"/>
        </w:rPr>
      </w:pPr>
      <w:r>
        <w:rPr>
          <w:b/>
          <w:bCs/>
          <w:color w:val="000000"/>
          <w:spacing w:val="-13"/>
          <w:sz w:val="24"/>
          <w:szCs w:val="24"/>
        </w:rPr>
        <w:t>JUDr. Miloš Levrinc, PhD.</w:t>
      </w:r>
    </w:p>
    <w:p w14:paraId="1D04F194" w14:textId="04D0BB7D" w:rsidR="00776923" w:rsidRPr="00776923" w:rsidRDefault="00B95595" w:rsidP="00B95595">
      <w:pPr>
        <w:shd w:val="clear" w:color="auto" w:fill="FFFFFF"/>
        <w:tabs>
          <w:tab w:val="left" w:pos="5103"/>
        </w:tabs>
        <w:spacing w:after="80" w:line="360" w:lineRule="auto"/>
        <w:ind w:left="5103"/>
        <w:rPr>
          <w:b/>
          <w:bCs/>
          <w:color w:val="000000"/>
          <w:spacing w:val="-13"/>
          <w:sz w:val="28"/>
          <w:szCs w:val="28"/>
        </w:rPr>
      </w:pPr>
      <w:r>
        <w:rPr>
          <w:b/>
          <w:bCs/>
          <w:color w:val="000000"/>
          <w:spacing w:val="-13"/>
          <w:sz w:val="24"/>
          <w:szCs w:val="24"/>
        </w:rPr>
        <w:t>JUDr. Ľubica Saktorová, PhD.</w:t>
      </w:r>
    </w:p>
    <w:p w14:paraId="61B48445" w14:textId="77777777" w:rsidR="00776923" w:rsidRDefault="00776923" w:rsidP="00170EC7">
      <w:pPr>
        <w:spacing w:after="80" w:line="360" w:lineRule="auto"/>
      </w:pPr>
    </w:p>
    <w:sectPr w:rsidR="00776923" w:rsidSect="001153FD">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CE04" w14:textId="77777777" w:rsidR="006B1316" w:rsidRDefault="006B1316" w:rsidP="001153FD">
      <w:r>
        <w:separator/>
      </w:r>
    </w:p>
  </w:endnote>
  <w:endnote w:type="continuationSeparator" w:id="0">
    <w:p w14:paraId="58F7F96C" w14:textId="77777777" w:rsidR="006B1316" w:rsidRDefault="006B1316" w:rsidP="0011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D15A" w14:textId="77777777" w:rsidR="006B1316" w:rsidRDefault="006B1316" w:rsidP="001153FD">
      <w:r>
        <w:separator/>
      </w:r>
    </w:p>
  </w:footnote>
  <w:footnote w:type="continuationSeparator" w:id="0">
    <w:p w14:paraId="468560AA" w14:textId="77777777" w:rsidR="006B1316" w:rsidRDefault="006B1316" w:rsidP="0011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2FD0" w14:textId="77777777" w:rsidR="007B5230" w:rsidRDefault="007B5230" w:rsidP="001153FD">
    <w:pPr>
      <w:pStyle w:val="Hlavika"/>
    </w:pPr>
  </w:p>
  <w:tbl>
    <w:tblPr>
      <w:tblStyle w:val="Mriekatabuky"/>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4364"/>
      <w:gridCol w:w="2140"/>
    </w:tblGrid>
    <w:tr w:rsidR="007B5230" w14:paraId="5A05F003" w14:textId="77777777" w:rsidTr="007B5230">
      <w:trPr>
        <w:trHeight w:val="1554"/>
      </w:trPr>
      <w:tc>
        <w:tcPr>
          <w:tcW w:w="2960" w:type="dxa"/>
        </w:tcPr>
        <w:p w14:paraId="1F6D24FE" w14:textId="77777777" w:rsidR="007B5230" w:rsidRDefault="007B5230" w:rsidP="007B5230">
          <w:pPr>
            <w:pStyle w:val="Hlavika"/>
          </w:pPr>
          <w:r>
            <w:rPr>
              <w:noProof/>
            </w:rPr>
            <w:drawing>
              <wp:inline distT="0" distB="0" distL="0" distR="0" wp14:anchorId="3974CCD7" wp14:editId="50E31EF5">
                <wp:extent cx="1288105" cy="936000"/>
                <wp:effectExtent l="0" t="0" r="762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B_C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105" cy="936000"/>
                        </a:xfrm>
                        <a:prstGeom prst="rect">
                          <a:avLst/>
                        </a:prstGeom>
                      </pic:spPr>
                    </pic:pic>
                  </a:graphicData>
                </a:graphic>
              </wp:inline>
            </w:drawing>
          </w:r>
        </w:p>
      </w:tc>
      <w:tc>
        <w:tcPr>
          <w:tcW w:w="4364" w:type="dxa"/>
          <w:vAlign w:val="center"/>
        </w:tcPr>
        <w:p w14:paraId="3930E370" w14:textId="77777777" w:rsidR="007B5230" w:rsidRPr="00582936" w:rsidRDefault="007B5230" w:rsidP="007B5230">
          <w:pPr>
            <w:pStyle w:val="Hlavika"/>
            <w:jc w:val="center"/>
            <w:rPr>
              <w:b/>
              <w:sz w:val="24"/>
            </w:rPr>
          </w:pPr>
          <w:r w:rsidRPr="00582936">
            <w:rPr>
              <w:b/>
              <w:sz w:val="24"/>
            </w:rPr>
            <w:t>Univerzita Mateja Bela v Banskej Bystrici</w:t>
          </w:r>
        </w:p>
        <w:p w14:paraId="23921E40" w14:textId="77777777" w:rsidR="007B5230" w:rsidRPr="00582936" w:rsidRDefault="007B5230" w:rsidP="007B5230">
          <w:pPr>
            <w:pStyle w:val="Hlavika"/>
            <w:jc w:val="center"/>
            <w:rPr>
              <w:sz w:val="24"/>
            </w:rPr>
          </w:pPr>
          <w:r w:rsidRPr="00582936">
            <w:rPr>
              <w:sz w:val="24"/>
            </w:rPr>
            <w:t>Právnická fakulta</w:t>
          </w:r>
        </w:p>
        <w:p w14:paraId="379F3991" w14:textId="77777777" w:rsidR="007B5230" w:rsidRDefault="007B5230" w:rsidP="007B5230">
          <w:pPr>
            <w:pStyle w:val="Hlavika"/>
            <w:jc w:val="center"/>
          </w:pPr>
          <w:r w:rsidRPr="00BB706B">
            <w:rPr>
              <w:sz w:val="24"/>
            </w:rPr>
            <w:t>Komenského 20, 974 01 Banská Bystrica</w:t>
          </w:r>
        </w:p>
      </w:tc>
      <w:tc>
        <w:tcPr>
          <w:tcW w:w="2140" w:type="dxa"/>
        </w:tcPr>
        <w:p w14:paraId="727051FB" w14:textId="77777777" w:rsidR="007B5230" w:rsidRDefault="007B5230" w:rsidP="007B5230">
          <w:pPr>
            <w:pStyle w:val="Hlavika"/>
            <w:jc w:val="right"/>
          </w:pPr>
          <w:r>
            <w:rPr>
              <w:noProof/>
            </w:rPr>
            <w:drawing>
              <wp:inline distT="0" distB="0" distL="0" distR="0" wp14:anchorId="34278874" wp14:editId="6BAA8FBF">
                <wp:extent cx="1008911" cy="936000"/>
                <wp:effectExtent l="0" t="0" r="127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F_C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911" cy="936000"/>
                        </a:xfrm>
                        <a:prstGeom prst="rect">
                          <a:avLst/>
                        </a:prstGeom>
                      </pic:spPr>
                    </pic:pic>
                  </a:graphicData>
                </a:graphic>
              </wp:inline>
            </w:drawing>
          </w:r>
        </w:p>
      </w:tc>
    </w:tr>
  </w:tbl>
  <w:p w14:paraId="30D5773C" w14:textId="77777777" w:rsidR="007B5230" w:rsidRDefault="007B5230" w:rsidP="001153F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867"/>
    <w:multiLevelType w:val="hybridMultilevel"/>
    <w:tmpl w:val="50624BA2"/>
    <w:lvl w:ilvl="0" w:tplc="EBEEA2C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B3A7A"/>
    <w:multiLevelType w:val="hybridMultilevel"/>
    <w:tmpl w:val="55AC20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253903"/>
    <w:multiLevelType w:val="hybridMultilevel"/>
    <w:tmpl w:val="1FEE7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DB144B"/>
    <w:multiLevelType w:val="hybridMultilevel"/>
    <w:tmpl w:val="CB866C5C"/>
    <w:lvl w:ilvl="0" w:tplc="B27CDB62">
      <w:start w:val="1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6AA5842"/>
    <w:multiLevelType w:val="hybridMultilevel"/>
    <w:tmpl w:val="92065274"/>
    <w:lvl w:ilvl="0" w:tplc="0F50BD64">
      <w:start w:val="1"/>
      <w:numFmt w:val="decimal"/>
      <w:lvlText w:val="%1."/>
      <w:lvlJc w:val="left"/>
      <w:pPr>
        <w:ind w:left="1065" w:hanging="705"/>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1A1450"/>
    <w:multiLevelType w:val="hybridMultilevel"/>
    <w:tmpl w:val="0296A0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C860410"/>
    <w:multiLevelType w:val="hybridMultilevel"/>
    <w:tmpl w:val="92065274"/>
    <w:lvl w:ilvl="0" w:tplc="0F50BD64">
      <w:start w:val="1"/>
      <w:numFmt w:val="decimal"/>
      <w:lvlText w:val="%1."/>
      <w:lvlJc w:val="left"/>
      <w:pPr>
        <w:ind w:left="1065" w:hanging="705"/>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6FE2D76"/>
    <w:multiLevelType w:val="hybridMultilevel"/>
    <w:tmpl w:val="10366DC8"/>
    <w:lvl w:ilvl="0" w:tplc="0F50BD64">
      <w:start w:val="1"/>
      <w:numFmt w:val="decimal"/>
      <w:lvlText w:val="%1."/>
      <w:lvlJc w:val="left"/>
      <w:pPr>
        <w:ind w:left="1065" w:hanging="705"/>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23"/>
    <w:rsid w:val="000235E0"/>
    <w:rsid w:val="00043689"/>
    <w:rsid w:val="00052FEB"/>
    <w:rsid w:val="00056C75"/>
    <w:rsid w:val="0009050E"/>
    <w:rsid w:val="000B6136"/>
    <w:rsid w:val="00110475"/>
    <w:rsid w:val="001153FD"/>
    <w:rsid w:val="001210FE"/>
    <w:rsid w:val="00126B5D"/>
    <w:rsid w:val="001477A8"/>
    <w:rsid w:val="00151ABC"/>
    <w:rsid w:val="001574F8"/>
    <w:rsid w:val="00170EC7"/>
    <w:rsid w:val="00176830"/>
    <w:rsid w:val="001917A8"/>
    <w:rsid w:val="001B1543"/>
    <w:rsid w:val="001C4024"/>
    <w:rsid w:val="001F339D"/>
    <w:rsid w:val="00201D51"/>
    <w:rsid w:val="00213EF4"/>
    <w:rsid w:val="00222EF1"/>
    <w:rsid w:val="00243F01"/>
    <w:rsid w:val="0024509D"/>
    <w:rsid w:val="00295E93"/>
    <w:rsid w:val="002C1DB0"/>
    <w:rsid w:val="002C649D"/>
    <w:rsid w:val="00313CA7"/>
    <w:rsid w:val="00322E05"/>
    <w:rsid w:val="003334D1"/>
    <w:rsid w:val="00335AF9"/>
    <w:rsid w:val="0036472F"/>
    <w:rsid w:val="00366A41"/>
    <w:rsid w:val="00366D90"/>
    <w:rsid w:val="003A534E"/>
    <w:rsid w:val="003B7118"/>
    <w:rsid w:val="003E27A5"/>
    <w:rsid w:val="00454021"/>
    <w:rsid w:val="00456CC6"/>
    <w:rsid w:val="004E5659"/>
    <w:rsid w:val="00537D33"/>
    <w:rsid w:val="00561D38"/>
    <w:rsid w:val="005D2B49"/>
    <w:rsid w:val="00601646"/>
    <w:rsid w:val="00642622"/>
    <w:rsid w:val="0064604E"/>
    <w:rsid w:val="00665B49"/>
    <w:rsid w:val="00667DA9"/>
    <w:rsid w:val="006771F0"/>
    <w:rsid w:val="006B1316"/>
    <w:rsid w:val="006E6985"/>
    <w:rsid w:val="006F4B4E"/>
    <w:rsid w:val="00700CCA"/>
    <w:rsid w:val="007048D3"/>
    <w:rsid w:val="00711EA1"/>
    <w:rsid w:val="00715692"/>
    <w:rsid w:val="00727C90"/>
    <w:rsid w:val="00734349"/>
    <w:rsid w:val="00745CE3"/>
    <w:rsid w:val="00750849"/>
    <w:rsid w:val="00756B8E"/>
    <w:rsid w:val="00776923"/>
    <w:rsid w:val="007B5230"/>
    <w:rsid w:val="007D7386"/>
    <w:rsid w:val="007F3597"/>
    <w:rsid w:val="007F3B72"/>
    <w:rsid w:val="00813A3C"/>
    <w:rsid w:val="008B52A4"/>
    <w:rsid w:val="008F2DEA"/>
    <w:rsid w:val="008F3456"/>
    <w:rsid w:val="00921FE0"/>
    <w:rsid w:val="00927D15"/>
    <w:rsid w:val="009B2103"/>
    <w:rsid w:val="009C7458"/>
    <w:rsid w:val="009D3C80"/>
    <w:rsid w:val="00A37892"/>
    <w:rsid w:val="00A44938"/>
    <w:rsid w:val="00A45957"/>
    <w:rsid w:val="00A506DB"/>
    <w:rsid w:val="00A7649C"/>
    <w:rsid w:val="00AA431B"/>
    <w:rsid w:val="00B06664"/>
    <w:rsid w:val="00B232BB"/>
    <w:rsid w:val="00B23811"/>
    <w:rsid w:val="00B24A44"/>
    <w:rsid w:val="00B33B16"/>
    <w:rsid w:val="00B42D30"/>
    <w:rsid w:val="00B45E3A"/>
    <w:rsid w:val="00B95595"/>
    <w:rsid w:val="00BE24AC"/>
    <w:rsid w:val="00BF056D"/>
    <w:rsid w:val="00BF7E60"/>
    <w:rsid w:val="00C11F78"/>
    <w:rsid w:val="00C21B84"/>
    <w:rsid w:val="00C52AC8"/>
    <w:rsid w:val="00C83535"/>
    <w:rsid w:val="00CB53D6"/>
    <w:rsid w:val="00CB6672"/>
    <w:rsid w:val="00CF1C9A"/>
    <w:rsid w:val="00D2133C"/>
    <w:rsid w:val="00D53075"/>
    <w:rsid w:val="00DC14A7"/>
    <w:rsid w:val="00DC2385"/>
    <w:rsid w:val="00DC6746"/>
    <w:rsid w:val="00DE219F"/>
    <w:rsid w:val="00E25FE8"/>
    <w:rsid w:val="00E476C5"/>
    <w:rsid w:val="00E52312"/>
    <w:rsid w:val="00E60E2D"/>
    <w:rsid w:val="00E73E02"/>
    <w:rsid w:val="00E77AFA"/>
    <w:rsid w:val="00E92E32"/>
    <w:rsid w:val="00EA0806"/>
    <w:rsid w:val="00EE1ED5"/>
    <w:rsid w:val="00F201C6"/>
    <w:rsid w:val="00F2504E"/>
    <w:rsid w:val="00FA0032"/>
    <w:rsid w:val="00FB71DE"/>
    <w:rsid w:val="00FC17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ED78"/>
  <w15:docId w15:val="{7AF6562D-7CC3-4FBE-A21E-10451C93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76923"/>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76923"/>
    <w:pPr>
      <w:keepNext/>
      <w:widowControl/>
      <w:autoSpaceDE/>
      <w:autoSpaceDN/>
      <w:adjustRightInd/>
      <w:spacing w:line="360" w:lineRule="auto"/>
      <w:jc w:val="both"/>
      <w:outlineLvl w:val="0"/>
    </w:pPr>
    <w:rPr>
      <w:rFonts w:ascii="Bookman Old Style" w:hAnsi="Bookman Old Style"/>
      <w:b/>
      <w:noProof/>
      <w:u w:val="single"/>
    </w:rPr>
  </w:style>
  <w:style w:type="paragraph" w:styleId="Nadpis2">
    <w:name w:val="heading 2"/>
    <w:basedOn w:val="Normlny"/>
    <w:next w:val="Normlny"/>
    <w:link w:val="Nadpis2Char"/>
    <w:qFormat/>
    <w:rsid w:val="00776923"/>
    <w:pPr>
      <w:keepNext/>
      <w:widowControl/>
      <w:autoSpaceDE/>
      <w:autoSpaceDN/>
      <w:adjustRightInd/>
      <w:spacing w:line="360" w:lineRule="auto"/>
      <w:jc w:val="center"/>
      <w:outlineLvl w:val="1"/>
    </w:pPr>
    <w:rPr>
      <w:rFonts w:ascii="Bookman Old Style" w:hAnsi="Bookman Old Style"/>
      <w:b/>
      <w:noProof/>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76923"/>
    <w:rPr>
      <w:rFonts w:ascii="Bookman Old Style" w:eastAsia="Times New Roman" w:hAnsi="Bookman Old Style" w:cs="Times New Roman"/>
      <w:b/>
      <w:noProof/>
      <w:sz w:val="20"/>
      <w:szCs w:val="20"/>
      <w:u w:val="single"/>
      <w:lang w:eastAsia="sk-SK"/>
    </w:rPr>
  </w:style>
  <w:style w:type="character" w:customStyle="1" w:styleId="Nadpis2Char">
    <w:name w:val="Nadpis 2 Char"/>
    <w:basedOn w:val="Predvolenpsmoodseku"/>
    <w:link w:val="Nadpis2"/>
    <w:rsid w:val="00776923"/>
    <w:rPr>
      <w:rFonts w:ascii="Bookman Old Style" w:eastAsia="Times New Roman" w:hAnsi="Bookman Old Style" w:cs="Times New Roman"/>
      <w:b/>
      <w:noProof/>
      <w:sz w:val="24"/>
      <w:szCs w:val="20"/>
      <w:lang w:eastAsia="sk-SK"/>
    </w:rPr>
  </w:style>
  <w:style w:type="paragraph" w:styleId="Zkladntext">
    <w:name w:val="Body Text"/>
    <w:basedOn w:val="Normlny"/>
    <w:link w:val="ZkladntextChar"/>
    <w:rsid w:val="00776923"/>
    <w:pPr>
      <w:widowControl/>
      <w:autoSpaceDE/>
      <w:autoSpaceDN/>
      <w:adjustRightInd/>
      <w:jc w:val="center"/>
    </w:pPr>
    <w:rPr>
      <w:rFonts w:ascii="Arial" w:hAnsi="Arial"/>
      <w:sz w:val="36"/>
    </w:rPr>
  </w:style>
  <w:style w:type="character" w:customStyle="1" w:styleId="ZkladntextChar">
    <w:name w:val="Základný text Char"/>
    <w:basedOn w:val="Predvolenpsmoodseku"/>
    <w:link w:val="Zkladntext"/>
    <w:rsid w:val="00776923"/>
    <w:rPr>
      <w:rFonts w:ascii="Arial" w:eastAsia="Times New Roman" w:hAnsi="Arial" w:cs="Times New Roman"/>
      <w:sz w:val="36"/>
      <w:szCs w:val="20"/>
      <w:lang w:eastAsia="sk-SK"/>
    </w:rPr>
  </w:style>
  <w:style w:type="paragraph" w:styleId="Textbubliny">
    <w:name w:val="Balloon Text"/>
    <w:basedOn w:val="Normlny"/>
    <w:link w:val="TextbublinyChar"/>
    <w:uiPriority w:val="99"/>
    <w:semiHidden/>
    <w:unhideWhenUsed/>
    <w:rsid w:val="00776923"/>
    <w:rPr>
      <w:rFonts w:ascii="Tahoma" w:hAnsi="Tahoma" w:cs="Tahoma"/>
      <w:sz w:val="16"/>
      <w:szCs w:val="16"/>
    </w:rPr>
  </w:style>
  <w:style w:type="character" w:customStyle="1" w:styleId="TextbublinyChar">
    <w:name w:val="Text bubliny Char"/>
    <w:basedOn w:val="Predvolenpsmoodseku"/>
    <w:link w:val="Textbubliny"/>
    <w:uiPriority w:val="99"/>
    <w:semiHidden/>
    <w:rsid w:val="00776923"/>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776923"/>
    <w:rPr>
      <w:sz w:val="16"/>
      <w:szCs w:val="16"/>
    </w:rPr>
  </w:style>
  <w:style w:type="paragraph" w:styleId="Textkomentra">
    <w:name w:val="annotation text"/>
    <w:basedOn w:val="Normlny"/>
    <w:link w:val="TextkomentraChar"/>
    <w:uiPriority w:val="99"/>
    <w:semiHidden/>
    <w:unhideWhenUsed/>
    <w:rsid w:val="00776923"/>
  </w:style>
  <w:style w:type="character" w:customStyle="1" w:styleId="TextkomentraChar">
    <w:name w:val="Text komentára Char"/>
    <w:basedOn w:val="Predvolenpsmoodseku"/>
    <w:link w:val="Textkomentra"/>
    <w:uiPriority w:val="99"/>
    <w:semiHidden/>
    <w:rsid w:val="0077692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76923"/>
    <w:rPr>
      <w:b/>
      <w:bCs/>
    </w:rPr>
  </w:style>
  <w:style w:type="character" w:customStyle="1" w:styleId="PredmetkomentraChar">
    <w:name w:val="Predmet komentára Char"/>
    <w:basedOn w:val="TextkomentraChar"/>
    <w:link w:val="Predmetkomentra"/>
    <w:uiPriority w:val="99"/>
    <w:semiHidden/>
    <w:rsid w:val="00776923"/>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776923"/>
    <w:pPr>
      <w:ind w:left="720"/>
      <w:contextualSpacing/>
    </w:pPr>
  </w:style>
  <w:style w:type="paragraph" w:styleId="Hlavika">
    <w:name w:val="header"/>
    <w:basedOn w:val="Normlny"/>
    <w:link w:val="HlavikaChar"/>
    <w:uiPriority w:val="99"/>
    <w:unhideWhenUsed/>
    <w:rsid w:val="001153FD"/>
    <w:pPr>
      <w:tabs>
        <w:tab w:val="center" w:pos="4536"/>
        <w:tab w:val="right" w:pos="9072"/>
      </w:tabs>
    </w:pPr>
  </w:style>
  <w:style w:type="character" w:customStyle="1" w:styleId="HlavikaChar">
    <w:name w:val="Hlavička Char"/>
    <w:basedOn w:val="Predvolenpsmoodseku"/>
    <w:link w:val="Hlavika"/>
    <w:uiPriority w:val="99"/>
    <w:rsid w:val="001153F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153FD"/>
    <w:pPr>
      <w:tabs>
        <w:tab w:val="center" w:pos="4536"/>
        <w:tab w:val="right" w:pos="9072"/>
      </w:tabs>
    </w:pPr>
  </w:style>
  <w:style w:type="character" w:customStyle="1" w:styleId="PtaChar">
    <w:name w:val="Päta Char"/>
    <w:basedOn w:val="Predvolenpsmoodseku"/>
    <w:link w:val="Pta"/>
    <w:uiPriority w:val="99"/>
    <w:rsid w:val="001153FD"/>
    <w:rPr>
      <w:rFonts w:ascii="Times New Roman" w:eastAsia="Times New Roman" w:hAnsi="Times New Roman" w:cs="Times New Roman"/>
      <w:sz w:val="20"/>
      <w:szCs w:val="20"/>
      <w:lang w:eastAsia="sk-SK"/>
    </w:rPr>
  </w:style>
  <w:style w:type="table" w:styleId="Mriekatabuky">
    <w:name w:val="Table Grid"/>
    <w:basedOn w:val="Normlnatabuka"/>
    <w:uiPriority w:val="59"/>
    <w:rsid w:val="0011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ny"/>
    <w:rsid w:val="00DC2385"/>
    <w:pPr>
      <w:widowControl/>
      <w:autoSpaceDE/>
      <w:autoSpaceDN/>
      <w:adjustRightInd/>
    </w:pPr>
    <w:rPr>
      <w:rFonts w:eastAsiaTheme="minorHAnsi"/>
      <w:sz w:val="24"/>
      <w:szCs w:val="24"/>
    </w:rPr>
  </w:style>
  <w:style w:type="paragraph" w:customStyle="1" w:styleId="xmsonormal">
    <w:name w:val="x_msonormal"/>
    <w:basedOn w:val="Normlny"/>
    <w:rsid w:val="00DC2385"/>
    <w:pPr>
      <w:widowControl/>
      <w:autoSpaceDE/>
      <w:autoSpaceDN/>
      <w:adjustRightInd/>
    </w:pPr>
    <w:rPr>
      <w:rFonts w:eastAsiaTheme="minorHAnsi"/>
      <w:sz w:val="24"/>
      <w:szCs w:val="24"/>
    </w:rPr>
  </w:style>
  <w:style w:type="paragraph" w:customStyle="1" w:styleId="C-AbstractEnglish">
    <w:name w:val="C-AbstractEnglish"/>
    <w:basedOn w:val="Normlny"/>
    <w:uiPriority w:val="9"/>
    <w:rsid w:val="00126B5D"/>
    <w:pPr>
      <w:widowControl/>
      <w:autoSpaceDE/>
      <w:autoSpaceDN/>
      <w:adjustRightInd/>
      <w:spacing w:after="120" w:line="240" w:lineRule="atLeast"/>
      <w:jc w:val="both"/>
    </w:pPr>
    <w:rPr>
      <w:rFonts w:ascii="Constantia" w:eastAsia="Calibri" w:hAnsi="Constantia"/>
      <w:szCs w:val="22"/>
      <w:lang w:val="en-GB" w:eastAsia="en-US"/>
    </w:rPr>
  </w:style>
  <w:style w:type="paragraph" w:customStyle="1" w:styleId="C-AbstractOriginal">
    <w:name w:val="C-AbstractOriginal"/>
    <w:basedOn w:val="Normlny"/>
    <w:rsid w:val="00126B5D"/>
    <w:pPr>
      <w:widowControl/>
      <w:autoSpaceDE/>
      <w:autoSpaceDN/>
      <w:adjustRightInd/>
      <w:spacing w:after="120" w:line="240" w:lineRule="atLeast"/>
      <w:jc w:val="both"/>
    </w:pPr>
    <w:rPr>
      <w:rFonts w:ascii="Constantia" w:eastAsia="Calibri" w:hAnsi="Constant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663">
      <w:bodyDiv w:val="1"/>
      <w:marLeft w:val="0"/>
      <w:marRight w:val="0"/>
      <w:marTop w:val="0"/>
      <w:marBottom w:val="0"/>
      <w:divBdr>
        <w:top w:val="none" w:sz="0" w:space="0" w:color="auto"/>
        <w:left w:val="none" w:sz="0" w:space="0" w:color="auto"/>
        <w:bottom w:val="none" w:sz="0" w:space="0" w:color="auto"/>
        <w:right w:val="none" w:sz="0" w:space="0" w:color="auto"/>
      </w:divBdr>
    </w:div>
    <w:div w:id="304554877">
      <w:bodyDiv w:val="1"/>
      <w:marLeft w:val="0"/>
      <w:marRight w:val="0"/>
      <w:marTop w:val="0"/>
      <w:marBottom w:val="0"/>
      <w:divBdr>
        <w:top w:val="none" w:sz="0" w:space="0" w:color="auto"/>
        <w:left w:val="none" w:sz="0" w:space="0" w:color="auto"/>
        <w:bottom w:val="none" w:sz="0" w:space="0" w:color="auto"/>
        <w:right w:val="none" w:sz="0" w:space="0" w:color="auto"/>
      </w:divBdr>
    </w:div>
    <w:div w:id="368723665">
      <w:bodyDiv w:val="1"/>
      <w:marLeft w:val="0"/>
      <w:marRight w:val="0"/>
      <w:marTop w:val="0"/>
      <w:marBottom w:val="0"/>
      <w:divBdr>
        <w:top w:val="none" w:sz="0" w:space="0" w:color="auto"/>
        <w:left w:val="none" w:sz="0" w:space="0" w:color="auto"/>
        <w:bottom w:val="none" w:sz="0" w:space="0" w:color="auto"/>
        <w:right w:val="none" w:sz="0" w:space="0" w:color="auto"/>
      </w:divBdr>
    </w:div>
    <w:div w:id="1039746884">
      <w:bodyDiv w:val="1"/>
      <w:marLeft w:val="0"/>
      <w:marRight w:val="0"/>
      <w:marTop w:val="0"/>
      <w:marBottom w:val="0"/>
      <w:divBdr>
        <w:top w:val="none" w:sz="0" w:space="0" w:color="auto"/>
        <w:left w:val="none" w:sz="0" w:space="0" w:color="auto"/>
        <w:bottom w:val="none" w:sz="0" w:space="0" w:color="auto"/>
        <w:right w:val="none" w:sz="0" w:space="0" w:color="auto"/>
      </w:divBdr>
    </w:div>
    <w:div w:id="18085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B6A5C0AF3F944980ECB33B26987F2C" ma:contentTypeVersion="15" ma:contentTypeDescription="Umožňuje vytvoriť nový dokument." ma:contentTypeScope="" ma:versionID="a31c1bbf0d6b88de24fd9e20dffa59f8">
  <xsd:schema xmlns:xsd="http://www.w3.org/2001/XMLSchema" xmlns:xs="http://www.w3.org/2001/XMLSchema" xmlns:p="http://schemas.microsoft.com/office/2006/metadata/properties" xmlns:ns3="2956f038-82bd-48aa-bd58-e831cb82e57b" xmlns:ns4="5514d65b-7d0c-4d32-a4ae-ebae976a29bf" targetNamespace="http://schemas.microsoft.com/office/2006/metadata/properties" ma:root="true" ma:fieldsID="3431f6da8c3993c530378513f5350643" ns3:_="" ns4:_="">
    <xsd:import namespace="2956f038-82bd-48aa-bd58-e831cb82e57b"/>
    <xsd:import namespace="5514d65b-7d0c-4d32-a4ae-ebae976a2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6f038-82bd-48aa-bd58-e831cb82e57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4d65b-7d0c-4d32-a4ae-ebae976a29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14d65b-7d0c-4d32-a4ae-ebae976a29bf"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C6F2AE1C-C797-41D3-A8B7-3B00630C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6f038-82bd-48aa-bd58-e831cb82e57b"/>
    <ds:schemaRef ds:uri="5514d65b-7d0c-4d32-a4ae-ebae976a2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F76A9-5AF8-4545-AF68-500E70731E23}">
  <ds:schemaRefs>
    <ds:schemaRef ds:uri="http://schemas.microsoft.com/sharepoint/v3/contenttype/forms"/>
  </ds:schemaRefs>
</ds:datastoreItem>
</file>

<file path=customXml/itemProps3.xml><?xml version="1.0" encoding="utf-8"?>
<ds:datastoreItem xmlns:ds="http://schemas.openxmlformats.org/officeDocument/2006/customXml" ds:itemID="{39BDDEC4-6B04-455A-83B9-A6E40A43D313}">
  <ds:schemaRefs>
    <ds:schemaRef ds:uri="http://purl.org/dc/elements/1.1/"/>
    <ds:schemaRef ds:uri="http://schemas.microsoft.com/office/2006/metadata/properties"/>
    <ds:schemaRef ds:uri="http://purl.org/dc/terms/"/>
    <ds:schemaRef ds:uri="5514d65b-7d0c-4d32-a4ae-ebae976a29bf"/>
    <ds:schemaRef ds:uri="http://schemas.microsoft.com/office/infopath/2007/PartnerControls"/>
    <ds:schemaRef ds:uri="http://schemas.microsoft.com/office/2006/documentManagement/types"/>
    <ds:schemaRef ds:uri="http://schemas.openxmlformats.org/package/2006/metadata/core-properties"/>
    <ds:schemaRef ds:uri="2956f038-82bd-48aa-bd58-e831cb82e57b"/>
    <ds:schemaRef ds:uri="http://www.w3.org/XML/1998/namespace"/>
    <ds:schemaRef ds:uri="http://purl.org/dc/dcmitype/"/>
  </ds:schemaRefs>
</ds:datastoreItem>
</file>

<file path=customXml/itemProps4.xml><?xml version="1.0" encoding="utf-8"?>
<ds:datastoreItem xmlns:ds="http://schemas.openxmlformats.org/officeDocument/2006/customXml" ds:itemID="{28A85E6B-6372-42DE-AB24-8E372A5C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11358</Characters>
  <Application>Microsoft Office Word</Application>
  <DocSecurity>0</DocSecurity>
  <Lines>94</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Judova Elena, JUDr., PhD.</cp:lastModifiedBy>
  <cp:revision>2</cp:revision>
  <cp:lastPrinted>2019-01-16T12:15:00Z</cp:lastPrinted>
  <dcterms:created xsi:type="dcterms:W3CDTF">2023-02-10T09:01:00Z</dcterms:created>
  <dcterms:modified xsi:type="dcterms:W3CDTF">2023-02-10T09:01:00Z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0x0101001FB6A5C0AF3F944980ECB33B26987F2C</vt:lpwstr>
  </property>
</Properties>
</file>