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12AC" w14:textId="77777777" w:rsidR="00352F83" w:rsidRPr="00646610" w:rsidRDefault="00352F83" w:rsidP="00C93701">
      <w:pPr>
        <w:spacing w:after="0" w:line="240" w:lineRule="auto"/>
        <w:jc w:val="both"/>
        <w:rPr>
          <w:rFonts w:ascii="Times New Roman" w:hAnsi="Times New Roman" w:cs="Times New Roman"/>
          <w:sz w:val="24"/>
          <w:szCs w:val="24"/>
          <w:lang w:val="sk-SK"/>
        </w:rPr>
      </w:pPr>
    </w:p>
    <w:p w14:paraId="713970DE" w14:textId="4AA48849" w:rsidR="002C0842" w:rsidRPr="00596F8B" w:rsidRDefault="00596F8B" w:rsidP="00596F8B">
      <w:pPr>
        <w:pStyle w:val="Nadpis1"/>
        <w:numPr>
          <w:ilvl w:val="0"/>
          <w:numId w:val="34"/>
        </w:numPr>
        <w:spacing w:before="0"/>
        <w:rPr>
          <w:rFonts w:ascii="Times New Roman" w:hAnsi="Times New Roman" w:cs="Times New Roman"/>
          <w:b/>
          <w:color w:val="auto"/>
          <w:sz w:val="28"/>
          <w:szCs w:val="24"/>
          <w:lang w:val="sk-SK"/>
        </w:rPr>
      </w:pPr>
      <w:r w:rsidRPr="00596F8B">
        <w:rPr>
          <w:rFonts w:ascii="Times New Roman" w:eastAsia="PMingLiU" w:hAnsi="Times New Roman" w:cs="Times New Roman"/>
          <w:b/>
          <w:color w:val="auto"/>
          <w:sz w:val="28"/>
          <w:szCs w:val="24"/>
          <w:lang w:val="sk-SK"/>
        </w:rPr>
        <w:t>Slovenská súdna prax vo veciach konkurzných konaní s cezhraničným dopadom</w:t>
      </w:r>
    </w:p>
    <w:p w14:paraId="43ABE7E4" w14:textId="77777777" w:rsidR="002C0842" w:rsidRDefault="002C0842" w:rsidP="002C0842">
      <w:pPr>
        <w:spacing w:after="0" w:line="240" w:lineRule="auto"/>
        <w:jc w:val="both"/>
        <w:rPr>
          <w:rFonts w:ascii="Times New Roman" w:hAnsi="Times New Roman" w:cs="Times New Roman"/>
          <w:sz w:val="24"/>
          <w:szCs w:val="24"/>
          <w:highlight w:val="yellow"/>
          <w:lang w:val="sk-SK"/>
        </w:rPr>
      </w:pPr>
    </w:p>
    <w:p w14:paraId="67474306" w14:textId="652EC978" w:rsidR="007F77ED" w:rsidRPr="00BB0FAA" w:rsidRDefault="007F77ED" w:rsidP="007F77ED">
      <w:pPr>
        <w:spacing w:after="0" w:line="240" w:lineRule="auto"/>
        <w:jc w:val="both"/>
        <w:rPr>
          <w:rFonts w:ascii="Times New Roman" w:hAnsi="Times New Roman" w:cs="Times New Roman"/>
          <w:sz w:val="24"/>
          <w:szCs w:val="24"/>
          <w:lang w:val="sk-SK"/>
        </w:rPr>
      </w:pPr>
      <w:r w:rsidRPr="00646610">
        <w:rPr>
          <w:rFonts w:ascii="Times New Roman" w:hAnsi="Times New Roman" w:cs="Times New Roman"/>
          <w:sz w:val="24"/>
          <w:szCs w:val="24"/>
          <w:lang w:val="sk-SK"/>
        </w:rPr>
        <w:t>Slovensko uplatňuje Nariadenie Rady (ES) č. 1346/2000 o konkurznom konaní od svojho vstupu do Európskej únie 1. mája 2004</w:t>
      </w:r>
      <w:r>
        <w:rPr>
          <w:rFonts w:ascii="Times New Roman" w:hAnsi="Times New Roman" w:cs="Times New Roman"/>
          <w:sz w:val="24"/>
          <w:szCs w:val="24"/>
          <w:lang w:val="sk-SK"/>
        </w:rPr>
        <w:t xml:space="preserve"> a revidované Nariadenie Európskeho parlamentu a Rady (EÚ) 2015/848 o </w:t>
      </w:r>
      <w:proofErr w:type="spellStart"/>
      <w:r>
        <w:rPr>
          <w:rFonts w:ascii="Times New Roman" w:hAnsi="Times New Roman" w:cs="Times New Roman"/>
          <w:sz w:val="24"/>
          <w:szCs w:val="24"/>
          <w:lang w:val="sk-SK"/>
        </w:rPr>
        <w:t>insolvenčnom</w:t>
      </w:r>
      <w:proofErr w:type="spellEnd"/>
      <w:r>
        <w:rPr>
          <w:rFonts w:ascii="Times New Roman" w:hAnsi="Times New Roman" w:cs="Times New Roman"/>
          <w:sz w:val="24"/>
          <w:szCs w:val="24"/>
          <w:lang w:val="sk-SK"/>
        </w:rPr>
        <w:t xml:space="preserve"> konaní, rovnako ako ostatné členské štáty, od 26. júna </w:t>
      </w:r>
      <w:r w:rsidRPr="00BB0FAA">
        <w:rPr>
          <w:rFonts w:ascii="Times New Roman" w:hAnsi="Times New Roman" w:cs="Times New Roman"/>
          <w:sz w:val="24"/>
          <w:szCs w:val="24"/>
          <w:lang w:val="sk-SK"/>
        </w:rPr>
        <w:t>2017 (čl. 92 Nariadenia 2015/848). Rozsudky k menovaným nariadeniam sú menej početné</w:t>
      </w:r>
      <w:r w:rsidRPr="00BB0FAA">
        <w:rPr>
          <w:rStyle w:val="Odkaznapoznmkupodiarou"/>
          <w:rFonts w:ascii="Times New Roman" w:hAnsi="Times New Roman" w:cs="Times New Roman"/>
          <w:sz w:val="24"/>
          <w:szCs w:val="24"/>
          <w:lang w:val="sk-SK"/>
        </w:rPr>
        <w:footnoteReference w:id="1"/>
      </w:r>
      <w:r w:rsidRPr="00BB0FAA">
        <w:rPr>
          <w:rFonts w:ascii="Times New Roman" w:hAnsi="Times New Roman" w:cs="Times New Roman"/>
          <w:sz w:val="24"/>
          <w:szCs w:val="24"/>
          <w:lang w:val="sk-SK"/>
        </w:rPr>
        <w:t>, i tak sa</w:t>
      </w:r>
      <w:r w:rsidR="00C34F04">
        <w:rPr>
          <w:rFonts w:ascii="Times New Roman" w:hAnsi="Times New Roman" w:cs="Times New Roman"/>
          <w:sz w:val="24"/>
          <w:szCs w:val="24"/>
          <w:lang w:val="sk-SK"/>
        </w:rPr>
        <w:t xml:space="preserve"> ale</w:t>
      </w:r>
      <w:r w:rsidRPr="00BB0FAA">
        <w:rPr>
          <w:rFonts w:ascii="Times New Roman" w:hAnsi="Times New Roman" w:cs="Times New Roman"/>
          <w:sz w:val="24"/>
          <w:szCs w:val="24"/>
          <w:lang w:val="sk-SK"/>
        </w:rPr>
        <w:t xml:space="preserve"> medzi nimi </w:t>
      </w:r>
      <w:r w:rsidR="00C34F04" w:rsidRPr="00BB0FAA">
        <w:rPr>
          <w:rFonts w:ascii="Times New Roman" w:hAnsi="Times New Roman" w:cs="Times New Roman"/>
          <w:sz w:val="24"/>
          <w:szCs w:val="24"/>
          <w:lang w:val="sk-SK"/>
        </w:rPr>
        <w:t>objavu</w:t>
      </w:r>
      <w:r w:rsidR="00C34F04">
        <w:rPr>
          <w:rFonts w:ascii="Times New Roman" w:hAnsi="Times New Roman" w:cs="Times New Roman"/>
          <w:sz w:val="24"/>
          <w:szCs w:val="24"/>
          <w:lang w:val="sk-SK"/>
        </w:rPr>
        <w:t>jú</w:t>
      </w:r>
      <w:r w:rsidRPr="00BB0FAA">
        <w:rPr>
          <w:rFonts w:ascii="Times New Roman" w:hAnsi="Times New Roman" w:cs="Times New Roman"/>
          <w:sz w:val="24"/>
          <w:szCs w:val="24"/>
          <w:lang w:val="sk-SK"/>
        </w:rPr>
        <w:t xml:space="preserve"> rozsudky </w:t>
      </w:r>
      <w:r w:rsidR="00C34F04">
        <w:rPr>
          <w:rFonts w:ascii="Times New Roman" w:hAnsi="Times New Roman" w:cs="Times New Roman"/>
          <w:sz w:val="24"/>
          <w:szCs w:val="24"/>
          <w:lang w:val="sk-SK"/>
        </w:rPr>
        <w:t>zásadného významu, ako je</w:t>
      </w:r>
      <w:r w:rsidRPr="00BB0FAA">
        <w:rPr>
          <w:rFonts w:ascii="Times New Roman" w:hAnsi="Times New Roman" w:cs="Times New Roman"/>
          <w:sz w:val="24"/>
          <w:szCs w:val="24"/>
          <w:lang w:val="sk-SK"/>
        </w:rPr>
        <w:t xml:space="preserve"> rozsudok Najvyššieho súdu SR z 5. mája 2016 ktorý rieši vzťah hlavného a vedľajšieho konkurzného konania</w:t>
      </w:r>
      <w:r w:rsidR="00C34F04">
        <w:rPr>
          <w:rFonts w:ascii="Times New Roman" w:hAnsi="Times New Roman" w:cs="Times New Roman"/>
          <w:sz w:val="24"/>
          <w:szCs w:val="24"/>
          <w:lang w:val="sk-SK"/>
        </w:rPr>
        <w:t xml:space="preserve">. Ďalšie rozsudky sa týkajú prevažne otázky právomoci slovenských súdov začať konkurzné konanie, kde rezonuje najmä otázka určenia </w:t>
      </w:r>
      <w:r w:rsidR="00C34F04" w:rsidRPr="00C34F04">
        <w:rPr>
          <w:rFonts w:ascii="Times New Roman" w:hAnsi="Times New Roman" w:cs="Times New Roman"/>
          <w:i/>
          <w:sz w:val="24"/>
          <w:szCs w:val="24"/>
          <w:lang w:val="sk-SK"/>
        </w:rPr>
        <w:t>centra hlavných záujmov dlžníka</w:t>
      </w:r>
      <w:r w:rsidR="00C34F04">
        <w:rPr>
          <w:rFonts w:ascii="Times New Roman" w:hAnsi="Times New Roman" w:cs="Times New Roman"/>
          <w:sz w:val="24"/>
          <w:szCs w:val="24"/>
          <w:lang w:val="sk-SK"/>
        </w:rPr>
        <w:t xml:space="preserve">. </w:t>
      </w:r>
      <w:r w:rsidRPr="00BB0FAA">
        <w:rPr>
          <w:rFonts w:ascii="Times New Roman" w:hAnsi="Times New Roman" w:cs="Times New Roman"/>
          <w:sz w:val="24"/>
          <w:szCs w:val="24"/>
          <w:lang w:val="sk-SK"/>
        </w:rPr>
        <w:t xml:space="preserve"> </w:t>
      </w:r>
    </w:p>
    <w:p w14:paraId="44B588A5" w14:textId="77777777" w:rsidR="007F77ED" w:rsidRPr="00646610" w:rsidRDefault="007F77ED" w:rsidP="002C0842">
      <w:pPr>
        <w:spacing w:after="0" w:line="240" w:lineRule="auto"/>
        <w:jc w:val="both"/>
        <w:rPr>
          <w:rFonts w:ascii="Times New Roman" w:hAnsi="Times New Roman" w:cs="Times New Roman"/>
          <w:sz w:val="24"/>
          <w:szCs w:val="24"/>
          <w:highlight w:val="yellow"/>
          <w:lang w:val="sk-SK"/>
        </w:rPr>
      </w:pPr>
    </w:p>
    <w:p w14:paraId="34EBEE52" w14:textId="56A0C9D2" w:rsidR="00AE77F5" w:rsidRPr="00646610" w:rsidRDefault="00596F8B" w:rsidP="002C0842">
      <w:pPr>
        <w:pStyle w:val="Odsekzoznamu"/>
        <w:numPr>
          <w:ilvl w:val="0"/>
          <w:numId w:val="26"/>
        </w:numPr>
        <w:spacing w:after="0" w:line="240" w:lineRule="auto"/>
        <w:contextualSpacing w:val="0"/>
        <w:jc w:val="both"/>
        <w:rPr>
          <w:rFonts w:ascii="Times New Roman" w:hAnsi="Times New Roman" w:cs="Times New Roman"/>
          <w:i/>
          <w:sz w:val="24"/>
          <w:szCs w:val="24"/>
          <w:lang w:val="sk-SK"/>
        </w:rPr>
      </w:pPr>
      <w:r>
        <w:rPr>
          <w:rFonts w:ascii="Times New Roman" w:hAnsi="Times New Roman" w:cs="Times New Roman"/>
          <w:i/>
          <w:sz w:val="24"/>
          <w:szCs w:val="24"/>
          <w:lang w:val="sk-SK"/>
        </w:rPr>
        <w:t>Právomoc, uznávanie a výkon a rozhodné právo v konkurzných veciach: apl</w:t>
      </w:r>
      <w:r w:rsidR="00024862">
        <w:rPr>
          <w:rFonts w:ascii="Times New Roman" w:hAnsi="Times New Roman" w:cs="Times New Roman"/>
          <w:i/>
          <w:sz w:val="24"/>
          <w:szCs w:val="24"/>
          <w:lang w:val="sk-SK"/>
        </w:rPr>
        <w:t>i</w:t>
      </w:r>
      <w:bookmarkStart w:id="0" w:name="_GoBack"/>
      <w:bookmarkEnd w:id="0"/>
      <w:r>
        <w:rPr>
          <w:rFonts w:ascii="Times New Roman" w:hAnsi="Times New Roman" w:cs="Times New Roman"/>
          <w:i/>
          <w:sz w:val="24"/>
          <w:szCs w:val="24"/>
          <w:lang w:val="sk-SK"/>
        </w:rPr>
        <w:t>kácia Nariadenia o konkurznom (</w:t>
      </w:r>
      <w:proofErr w:type="spellStart"/>
      <w:r>
        <w:rPr>
          <w:rFonts w:ascii="Times New Roman" w:hAnsi="Times New Roman" w:cs="Times New Roman"/>
          <w:i/>
          <w:sz w:val="24"/>
          <w:szCs w:val="24"/>
          <w:lang w:val="sk-SK"/>
        </w:rPr>
        <w:t>insolvenčnom</w:t>
      </w:r>
      <w:proofErr w:type="spellEnd"/>
      <w:r>
        <w:rPr>
          <w:rFonts w:ascii="Times New Roman" w:hAnsi="Times New Roman" w:cs="Times New Roman"/>
          <w:i/>
          <w:sz w:val="24"/>
          <w:szCs w:val="24"/>
          <w:lang w:val="sk-SK"/>
        </w:rPr>
        <w:t>) konaní</w:t>
      </w:r>
    </w:p>
    <w:p w14:paraId="108B2540" w14:textId="7E314F20" w:rsidR="007F77ED" w:rsidRPr="007F77ED" w:rsidRDefault="007F77ED" w:rsidP="007F77ED">
      <w:pPr>
        <w:pStyle w:val="Odsekzoznamu"/>
        <w:spacing w:after="0" w:line="240" w:lineRule="auto"/>
        <w:ind w:left="1440"/>
        <w:contextualSpacing w:val="0"/>
        <w:jc w:val="both"/>
        <w:rPr>
          <w:rFonts w:ascii="Times New Roman" w:hAnsi="Times New Roman" w:cs="Times New Roman"/>
          <w:sz w:val="24"/>
          <w:szCs w:val="24"/>
          <w:lang w:val="sk-SK"/>
        </w:rPr>
      </w:pPr>
    </w:p>
    <w:p w14:paraId="5A22871F" w14:textId="3A096EE4" w:rsidR="002C0842" w:rsidRDefault="00596F8B" w:rsidP="002C0842">
      <w:pPr>
        <w:pStyle w:val="Odsekzoznamu"/>
        <w:numPr>
          <w:ilvl w:val="0"/>
          <w:numId w:val="25"/>
        </w:numPr>
        <w:spacing w:after="0" w:line="240" w:lineRule="auto"/>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Pôsobnosť</w:t>
      </w:r>
    </w:p>
    <w:p w14:paraId="2DF35E94" w14:textId="7CAFA73C" w:rsidR="007F77ED" w:rsidRPr="00F86817" w:rsidRDefault="007F77ED" w:rsidP="007F77ED">
      <w:pPr>
        <w:spacing w:after="0" w:line="240" w:lineRule="auto"/>
        <w:jc w:val="both"/>
        <w:rPr>
          <w:rFonts w:ascii="Times New Roman" w:hAnsi="Times New Roman" w:cs="Times New Roman"/>
          <w:sz w:val="24"/>
          <w:szCs w:val="24"/>
          <w:lang w:val="sk-SK"/>
        </w:rPr>
      </w:pPr>
    </w:p>
    <w:p w14:paraId="3A114D32" w14:textId="363ED7F9" w:rsidR="00FF50DD" w:rsidRDefault="00F86817" w:rsidP="007F77ED">
      <w:pPr>
        <w:spacing w:after="0" w:line="240" w:lineRule="auto"/>
        <w:jc w:val="both"/>
        <w:rPr>
          <w:rFonts w:ascii="Times New Roman" w:hAnsi="Times New Roman" w:cs="Times New Roman"/>
          <w:sz w:val="24"/>
          <w:szCs w:val="24"/>
          <w:lang w:val="sk-SK"/>
        </w:rPr>
      </w:pPr>
      <w:r w:rsidRPr="00F86817">
        <w:rPr>
          <w:rFonts w:ascii="Times New Roman" w:hAnsi="Times New Roman" w:cs="Times New Roman"/>
          <w:sz w:val="24"/>
          <w:szCs w:val="24"/>
          <w:lang w:val="sk-SK"/>
        </w:rPr>
        <w:t xml:space="preserve">Otázkou pôsobnosti Nariadenia </w:t>
      </w:r>
      <w:r w:rsidR="005F5884">
        <w:rPr>
          <w:rFonts w:ascii="Times New Roman" w:hAnsi="Times New Roman" w:cs="Times New Roman"/>
          <w:sz w:val="24"/>
          <w:szCs w:val="24"/>
          <w:lang w:val="sk-SK"/>
        </w:rPr>
        <w:t>o konkurznom konaní č.</w:t>
      </w:r>
      <w:r w:rsidRPr="00F86817">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1346/2000 sa zaoberal </w:t>
      </w:r>
      <w:r w:rsidRPr="00F86817">
        <w:rPr>
          <w:rFonts w:ascii="Times New Roman" w:hAnsi="Times New Roman" w:cs="Times New Roman"/>
          <w:b/>
          <w:sz w:val="24"/>
          <w:szCs w:val="24"/>
          <w:lang w:val="sk-SK"/>
        </w:rPr>
        <w:t>Krajskú súd v Banskej Bystrici</w:t>
      </w:r>
      <w:r w:rsidR="001615DA" w:rsidRPr="001615DA">
        <w:rPr>
          <w:rFonts w:ascii="Times New Roman" w:hAnsi="Times New Roman" w:cs="Times New Roman"/>
          <w:sz w:val="24"/>
          <w:szCs w:val="24"/>
          <w:lang w:val="sk-SK"/>
        </w:rPr>
        <w:t>, ako súd odvolací,</w:t>
      </w:r>
      <w:r>
        <w:rPr>
          <w:rFonts w:ascii="Times New Roman" w:hAnsi="Times New Roman" w:cs="Times New Roman"/>
          <w:sz w:val="24"/>
          <w:szCs w:val="24"/>
          <w:lang w:val="sk-SK"/>
        </w:rPr>
        <w:t xml:space="preserve"> vo svojom uznesení z </w:t>
      </w:r>
      <w:r w:rsidRPr="00F86817">
        <w:rPr>
          <w:rFonts w:ascii="Times New Roman" w:hAnsi="Times New Roman" w:cs="Times New Roman"/>
          <w:b/>
          <w:sz w:val="24"/>
          <w:szCs w:val="24"/>
          <w:lang w:val="sk-SK"/>
        </w:rPr>
        <w:t>20. 11. 2019</w:t>
      </w:r>
      <w:r>
        <w:rPr>
          <w:rFonts w:ascii="Times New Roman" w:hAnsi="Times New Roman" w:cs="Times New Roman"/>
          <w:sz w:val="24"/>
          <w:szCs w:val="24"/>
          <w:lang w:val="sk-SK"/>
        </w:rPr>
        <w:t xml:space="preserve">, </w:t>
      </w:r>
      <w:proofErr w:type="spellStart"/>
      <w:r>
        <w:rPr>
          <w:rFonts w:ascii="Times New Roman" w:hAnsi="Times New Roman" w:cs="Times New Roman"/>
          <w:sz w:val="24"/>
          <w:szCs w:val="24"/>
          <w:lang w:val="sk-SK"/>
        </w:rPr>
        <w:t>sp</w:t>
      </w:r>
      <w:proofErr w:type="spellEnd"/>
      <w:r>
        <w:rPr>
          <w:rFonts w:ascii="Times New Roman" w:hAnsi="Times New Roman" w:cs="Times New Roman"/>
          <w:sz w:val="24"/>
          <w:szCs w:val="24"/>
          <w:lang w:val="sk-SK"/>
        </w:rPr>
        <w:t xml:space="preserve">. zn. </w:t>
      </w:r>
      <w:r w:rsidRPr="00F86817">
        <w:rPr>
          <w:rFonts w:ascii="Times New Roman" w:hAnsi="Times New Roman" w:cs="Times New Roman"/>
          <w:b/>
          <w:sz w:val="24"/>
          <w:szCs w:val="24"/>
          <w:lang w:val="sk-SK"/>
        </w:rPr>
        <w:t xml:space="preserve">41 </w:t>
      </w:r>
      <w:proofErr w:type="spellStart"/>
      <w:r w:rsidRPr="00F86817">
        <w:rPr>
          <w:rFonts w:ascii="Times New Roman" w:hAnsi="Times New Roman" w:cs="Times New Roman"/>
          <w:b/>
          <w:sz w:val="24"/>
          <w:szCs w:val="24"/>
          <w:lang w:val="sk-SK"/>
        </w:rPr>
        <w:t>CoKR</w:t>
      </w:r>
      <w:proofErr w:type="spellEnd"/>
      <w:r w:rsidRPr="00F86817">
        <w:rPr>
          <w:rFonts w:ascii="Times New Roman" w:hAnsi="Times New Roman" w:cs="Times New Roman"/>
          <w:b/>
          <w:sz w:val="24"/>
          <w:szCs w:val="24"/>
          <w:lang w:val="sk-SK"/>
        </w:rPr>
        <w:t>/15/2019</w:t>
      </w:r>
      <w:r>
        <w:rPr>
          <w:rFonts w:ascii="Times New Roman" w:hAnsi="Times New Roman" w:cs="Times New Roman"/>
          <w:sz w:val="24"/>
          <w:szCs w:val="24"/>
          <w:lang w:val="sk-SK"/>
        </w:rPr>
        <w:t>.</w:t>
      </w:r>
      <w:r w:rsidR="00114300">
        <w:rPr>
          <w:rStyle w:val="Odkaznapoznmkupodiarou"/>
          <w:rFonts w:ascii="Times New Roman" w:hAnsi="Times New Roman" w:cs="Times New Roman"/>
          <w:sz w:val="24"/>
          <w:szCs w:val="24"/>
          <w:lang w:val="sk-SK"/>
        </w:rPr>
        <w:footnoteReference w:id="2"/>
      </w:r>
      <w:r w:rsidR="00C34F04">
        <w:rPr>
          <w:rFonts w:ascii="Times New Roman" w:hAnsi="Times New Roman" w:cs="Times New Roman"/>
          <w:sz w:val="24"/>
          <w:szCs w:val="24"/>
          <w:lang w:val="sk-SK"/>
        </w:rPr>
        <w:t xml:space="preserve"> </w:t>
      </w:r>
      <w:r w:rsidR="00FF50DD">
        <w:rPr>
          <w:rFonts w:ascii="Times New Roman" w:hAnsi="Times New Roman" w:cs="Times New Roman"/>
          <w:sz w:val="24"/>
          <w:szCs w:val="24"/>
          <w:lang w:val="sk-SK"/>
        </w:rPr>
        <w:t>Rozhodnutie Krajského súdu je osobité i tým ako krajský súd čerpal vo svojej argumentácii judikatúru Súdneho dvora EÚ. Prevažná väčšina rozsudkov slovenských súdov ktoré sme mali možnosť si preštudovať neodkazovala na judikatúru Súdneho dvora EÚ, alebo na ňu odkazovala len minimálne a bez hlbšej nadväznosti.</w:t>
      </w:r>
    </w:p>
    <w:p w14:paraId="3A9ECD26" w14:textId="77777777" w:rsidR="00FF50DD" w:rsidRDefault="00FF50DD" w:rsidP="007F77ED">
      <w:pPr>
        <w:spacing w:after="0" w:line="240" w:lineRule="auto"/>
        <w:jc w:val="both"/>
        <w:rPr>
          <w:rFonts w:ascii="Times New Roman" w:hAnsi="Times New Roman" w:cs="Times New Roman"/>
          <w:sz w:val="24"/>
          <w:szCs w:val="24"/>
          <w:lang w:val="sk-SK"/>
        </w:rPr>
      </w:pPr>
    </w:p>
    <w:p w14:paraId="3209E842" w14:textId="153A3C99" w:rsidR="00C34F04" w:rsidRDefault="00FF50DD"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Uznesenie</w:t>
      </w:r>
      <w:r w:rsidR="00C34F04">
        <w:rPr>
          <w:rFonts w:ascii="Times New Roman" w:hAnsi="Times New Roman" w:cs="Times New Roman"/>
          <w:sz w:val="24"/>
          <w:szCs w:val="24"/>
          <w:lang w:val="sk-SK"/>
        </w:rPr>
        <w:t xml:space="preserve"> bol</w:t>
      </w:r>
      <w:r>
        <w:rPr>
          <w:rFonts w:ascii="Times New Roman" w:hAnsi="Times New Roman" w:cs="Times New Roman"/>
          <w:sz w:val="24"/>
          <w:szCs w:val="24"/>
          <w:lang w:val="sk-SK"/>
        </w:rPr>
        <w:t>o vydané</w:t>
      </w:r>
      <w:r w:rsidR="00C34F04">
        <w:rPr>
          <w:rFonts w:ascii="Times New Roman" w:hAnsi="Times New Roman" w:cs="Times New Roman"/>
          <w:sz w:val="24"/>
          <w:szCs w:val="24"/>
          <w:lang w:val="sk-SK"/>
        </w:rPr>
        <w:t xml:space="preserve"> v rámci konania v ktorom sa žalobca (veriteľ) domáhal určenia oprávnenosti svojej pohľadávky prihlásenej do konkurzného konania vedeného v Slovenskej republike</w:t>
      </w:r>
      <w:r>
        <w:rPr>
          <w:rFonts w:ascii="Times New Roman" w:hAnsi="Times New Roman" w:cs="Times New Roman"/>
          <w:sz w:val="24"/>
          <w:szCs w:val="24"/>
          <w:lang w:val="sk-SK"/>
        </w:rPr>
        <w:t xml:space="preserve">, popretej </w:t>
      </w:r>
      <w:r w:rsidR="00C34F04">
        <w:rPr>
          <w:rFonts w:ascii="Times New Roman" w:hAnsi="Times New Roman" w:cs="Times New Roman"/>
          <w:sz w:val="24"/>
          <w:szCs w:val="24"/>
          <w:lang w:val="sk-SK"/>
        </w:rPr>
        <w:t>správcom konkurznej podstaty. Správca konkurznej podstaty podal</w:t>
      </w:r>
      <w:r>
        <w:rPr>
          <w:rFonts w:ascii="Times New Roman" w:hAnsi="Times New Roman" w:cs="Times New Roman"/>
          <w:sz w:val="24"/>
          <w:szCs w:val="24"/>
          <w:lang w:val="sk-SK"/>
        </w:rPr>
        <w:t xml:space="preserve"> v tomto konaní</w:t>
      </w:r>
      <w:r w:rsidR="00C34F04">
        <w:rPr>
          <w:rFonts w:ascii="Times New Roman" w:hAnsi="Times New Roman" w:cs="Times New Roman"/>
          <w:sz w:val="24"/>
          <w:szCs w:val="24"/>
          <w:lang w:val="sk-SK"/>
        </w:rPr>
        <w:t xml:space="preserve"> protinávrh, ktorým si uplatnil proti veriteľovi pohľadávku úpadcu z bezdôvodného obohatenia. </w:t>
      </w:r>
      <w:r w:rsidR="00114300">
        <w:rPr>
          <w:rFonts w:ascii="Times New Roman" w:hAnsi="Times New Roman" w:cs="Times New Roman"/>
          <w:sz w:val="24"/>
          <w:szCs w:val="24"/>
          <w:lang w:val="sk-SK"/>
        </w:rPr>
        <w:t xml:space="preserve">Šlo teda o situáciu </w:t>
      </w:r>
      <w:r w:rsidR="005F5884">
        <w:rPr>
          <w:rFonts w:ascii="Times New Roman" w:hAnsi="Times New Roman" w:cs="Times New Roman"/>
          <w:sz w:val="24"/>
          <w:szCs w:val="24"/>
          <w:lang w:val="sk-SK"/>
        </w:rPr>
        <w:t>opačnú než v</w:t>
      </w:r>
      <w:r w:rsidR="00114300">
        <w:rPr>
          <w:rFonts w:ascii="Times New Roman" w:hAnsi="Times New Roman" w:cs="Times New Roman"/>
          <w:sz w:val="24"/>
          <w:szCs w:val="24"/>
          <w:lang w:val="sk-SK"/>
        </w:rPr>
        <w:t xml:space="preserve"> článk</w:t>
      </w:r>
      <w:r w:rsidR="005F5884">
        <w:rPr>
          <w:rFonts w:ascii="Times New Roman" w:hAnsi="Times New Roman" w:cs="Times New Roman"/>
          <w:sz w:val="24"/>
          <w:szCs w:val="24"/>
          <w:lang w:val="sk-SK"/>
        </w:rPr>
        <w:t>u</w:t>
      </w:r>
      <w:r w:rsidR="00114300">
        <w:rPr>
          <w:rFonts w:ascii="Times New Roman" w:hAnsi="Times New Roman" w:cs="Times New Roman"/>
          <w:sz w:val="24"/>
          <w:szCs w:val="24"/>
          <w:lang w:val="sk-SK"/>
        </w:rPr>
        <w:t xml:space="preserve"> </w:t>
      </w:r>
      <w:r w:rsidR="005F5884">
        <w:rPr>
          <w:rFonts w:ascii="Times New Roman" w:hAnsi="Times New Roman" w:cs="Times New Roman"/>
          <w:sz w:val="24"/>
          <w:szCs w:val="24"/>
          <w:lang w:val="sk-SK"/>
        </w:rPr>
        <w:t>6</w:t>
      </w:r>
      <w:r w:rsidR="00114300">
        <w:rPr>
          <w:rFonts w:ascii="Times New Roman" w:hAnsi="Times New Roman" w:cs="Times New Roman"/>
          <w:sz w:val="24"/>
          <w:szCs w:val="24"/>
          <w:lang w:val="sk-SK"/>
        </w:rPr>
        <w:t xml:space="preserve"> a článk</w:t>
      </w:r>
      <w:r w:rsidR="005F5884">
        <w:rPr>
          <w:rFonts w:ascii="Times New Roman" w:hAnsi="Times New Roman" w:cs="Times New Roman"/>
          <w:sz w:val="24"/>
          <w:szCs w:val="24"/>
          <w:lang w:val="sk-SK"/>
        </w:rPr>
        <w:t>u</w:t>
      </w:r>
      <w:r w:rsidR="00114300">
        <w:rPr>
          <w:rFonts w:ascii="Times New Roman" w:hAnsi="Times New Roman" w:cs="Times New Roman"/>
          <w:sz w:val="24"/>
          <w:szCs w:val="24"/>
          <w:lang w:val="sk-SK"/>
        </w:rPr>
        <w:t xml:space="preserve"> </w:t>
      </w:r>
      <w:r w:rsidR="005F5884">
        <w:rPr>
          <w:rFonts w:ascii="Times New Roman" w:hAnsi="Times New Roman" w:cs="Times New Roman"/>
          <w:sz w:val="24"/>
          <w:szCs w:val="24"/>
          <w:lang w:val="sk-SK"/>
        </w:rPr>
        <w:t xml:space="preserve">4 ods. 2 písm. d) </w:t>
      </w:r>
      <w:r w:rsidR="00114300">
        <w:rPr>
          <w:rFonts w:ascii="Times New Roman" w:hAnsi="Times New Roman" w:cs="Times New Roman"/>
          <w:sz w:val="24"/>
          <w:szCs w:val="24"/>
          <w:lang w:val="sk-SK"/>
        </w:rPr>
        <w:t>Nariadenia</w:t>
      </w:r>
      <w:r w:rsidR="005F5884">
        <w:rPr>
          <w:rFonts w:ascii="Times New Roman" w:hAnsi="Times New Roman" w:cs="Times New Roman"/>
          <w:sz w:val="24"/>
          <w:szCs w:val="24"/>
          <w:lang w:val="sk-SK"/>
        </w:rPr>
        <w:t xml:space="preserve">, ktoré reflektovali na situácie keď si započítanie svojej pohľadávky uplatňuje veriteľ voči </w:t>
      </w:r>
      <w:r w:rsidR="005F5884" w:rsidRPr="00764FAA">
        <w:rPr>
          <w:rFonts w:ascii="Times New Roman" w:hAnsi="Times New Roman" w:cs="Times New Roman"/>
          <w:sz w:val="24"/>
          <w:szCs w:val="24"/>
          <w:lang w:val="sk-SK"/>
        </w:rPr>
        <w:t xml:space="preserve">úpadcovi. </w:t>
      </w:r>
      <w:r w:rsidRPr="00764FAA">
        <w:rPr>
          <w:rFonts w:ascii="Times New Roman" w:hAnsi="Times New Roman" w:cs="Times New Roman"/>
          <w:sz w:val="24"/>
          <w:szCs w:val="24"/>
          <w:lang w:val="sk-SK"/>
        </w:rPr>
        <w:t xml:space="preserve">Z odôvodnenia rozsudku tiež vyplýva že </w:t>
      </w:r>
      <w:r w:rsidR="008D30CB" w:rsidRPr="00764FAA">
        <w:rPr>
          <w:rFonts w:ascii="Times New Roman" w:hAnsi="Times New Roman" w:cs="Times New Roman"/>
          <w:sz w:val="24"/>
          <w:szCs w:val="24"/>
          <w:lang w:val="sk-SK"/>
        </w:rPr>
        <w:t xml:space="preserve">prvostupňový súd zamietol žalobu tzn. neuznal pohľadávku veriteľa za </w:t>
      </w:r>
      <w:r w:rsidR="00764FAA" w:rsidRPr="00764FAA">
        <w:rPr>
          <w:rFonts w:ascii="Times New Roman" w:hAnsi="Times New Roman" w:cs="Times New Roman"/>
          <w:sz w:val="24"/>
          <w:szCs w:val="24"/>
          <w:lang w:val="sk-SK"/>
        </w:rPr>
        <w:t>oprávnenú</w:t>
      </w:r>
      <w:r w:rsidR="00764FAA">
        <w:rPr>
          <w:rFonts w:ascii="Times New Roman" w:hAnsi="Times New Roman" w:cs="Times New Roman"/>
          <w:sz w:val="24"/>
          <w:szCs w:val="24"/>
          <w:lang w:val="sk-SK"/>
        </w:rPr>
        <w:t xml:space="preserve"> </w:t>
      </w:r>
      <w:r w:rsidR="008D30CB" w:rsidRPr="00764FAA">
        <w:rPr>
          <w:rFonts w:ascii="Times New Roman" w:hAnsi="Times New Roman" w:cs="Times New Roman"/>
          <w:sz w:val="24"/>
          <w:szCs w:val="24"/>
          <w:lang w:val="sk-SK"/>
        </w:rPr>
        <w:t>a ďalej sa pravdepodobne konalo už len vo veci nároku z údajného bezdôvodného obohatenia uplatneného správcom konkurznej podstaty</w:t>
      </w:r>
      <w:r w:rsidR="008D30CB">
        <w:rPr>
          <w:rFonts w:ascii="Times New Roman" w:hAnsi="Times New Roman" w:cs="Times New Roman"/>
          <w:sz w:val="24"/>
          <w:szCs w:val="24"/>
          <w:lang w:val="sk-SK"/>
        </w:rPr>
        <w:t xml:space="preserve"> v mene dlžníka. </w:t>
      </w:r>
      <w:r w:rsidR="00C34F04">
        <w:rPr>
          <w:rFonts w:ascii="Times New Roman" w:hAnsi="Times New Roman" w:cs="Times New Roman"/>
          <w:sz w:val="24"/>
          <w:szCs w:val="24"/>
          <w:lang w:val="sk-SK"/>
        </w:rPr>
        <w:t xml:space="preserve"> </w:t>
      </w:r>
    </w:p>
    <w:p w14:paraId="0180F7A6" w14:textId="77777777" w:rsidR="00C34F04" w:rsidRDefault="00C34F04" w:rsidP="007F77ED">
      <w:pPr>
        <w:spacing w:after="0" w:line="240" w:lineRule="auto"/>
        <w:jc w:val="both"/>
        <w:rPr>
          <w:rFonts w:ascii="Times New Roman" w:hAnsi="Times New Roman" w:cs="Times New Roman"/>
          <w:sz w:val="24"/>
          <w:szCs w:val="24"/>
          <w:lang w:val="sk-SK"/>
        </w:rPr>
      </w:pPr>
    </w:p>
    <w:p w14:paraId="10573597" w14:textId="592064AB" w:rsidR="007F77ED" w:rsidRDefault="008D30CB"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Veriteľ namietal neexistenciu právomoci slovenského súdu konať v tejto veci. Veriteľom bola obchodná spoločnosť so sídlom v Rakúsku.</w:t>
      </w:r>
      <w:r w:rsidR="00243D98">
        <w:rPr>
          <w:rFonts w:ascii="Times New Roman" w:hAnsi="Times New Roman" w:cs="Times New Roman"/>
          <w:sz w:val="24"/>
          <w:szCs w:val="24"/>
          <w:lang w:val="sk-SK"/>
        </w:rPr>
        <w:t xml:space="preserve"> Krajský súd potvrdil záver prvostupňového súdu že táto žaloba nepatrí do vecnej pôsobnosti Nariadenia o konkurznom konaní a slovenský súd </w:t>
      </w:r>
      <w:r w:rsidR="006E59C8">
        <w:rPr>
          <w:rFonts w:ascii="Times New Roman" w:hAnsi="Times New Roman" w:cs="Times New Roman"/>
          <w:sz w:val="24"/>
          <w:szCs w:val="24"/>
          <w:lang w:val="sk-SK"/>
        </w:rPr>
        <w:t>na ktorom</w:t>
      </w:r>
      <w:r w:rsidR="00243D98">
        <w:rPr>
          <w:rFonts w:ascii="Times New Roman" w:hAnsi="Times New Roman" w:cs="Times New Roman"/>
          <w:sz w:val="24"/>
          <w:szCs w:val="24"/>
          <w:lang w:val="sk-SK"/>
        </w:rPr>
        <w:t xml:space="preserve"> je vedené konkurzné konanie nemá v tejto veci právomoc</w:t>
      </w:r>
      <w:r w:rsidR="00646821">
        <w:rPr>
          <w:rFonts w:ascii="Times New Roman" w:hAnsi="Times New Roman" w:cs="Times New Roman"/>
          <w:sz w:val="24"/>
          <w:szCs w:val="24"/>
          <w:lang w:val="sk-SK"/>
        </w:rPr>
        <w:t xml:space="preserve"> v zmysle článku 3 ods. 1 tohto nariadenia</w:t>
      </w:r>
      <w:r w:rsidR="006E59C8">
        <w:rPr>
          <w:rFonts w:ascii="Times New Roman" w:hAnsi="Times New Roman" w:cs="Times New Roman"/>
          <w:sz w:val="24"/>
          <w:szCs w:val="24"/>
          <w:lang w:val="sk-SK"/>
        </w:rPr>
        <w:t xml:space="preserve">. </w:t>
      </w:r>
    </w:p>
    <w:p w14:paraId="70BF8217" w14:textId="77777777" w:rsidR="00646821" w:rsidRDefault="00646821" w:rsidP="007F77ED">
      <w:pPr>
        <w:spacing w:after="0" w:line="240" w:lineRule="auto"/>
        <w:jc w:val="both"/>
        <w:rPr>
          <w:rFonts w:ascii="Times New Roman" w:hAnsi="Times New Roman" w:cs="Times New Roman"/>
          <w:sz w:val="24"/>
          <w:szCs w:val="24"/>
          <w:lang w:val="sk-SK"/>
        </w:rPr>
      </w:pPr>
    </w:p>
    <w:p w14:paraId="2FB2FE3E" w14:textId="6FE5CD96" w:rsidR="00EF7F92" w:rsidRDefault="00EF7F92"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Krajský súd poukázal na judikatúru Súdneho dvora EÚ, konkrétne rozsudky C-339/07 </w:t>
      </w:r>
      <w:proofErr w:type="spellStart"/>
      <w:r w:rsidRPr="00EF7F92">
        <w:rPr>
          <w:rFonts w:ascii="Times New Roman" w:hAnsi="Times New Roman" w:cs="Times New Roman"/>
          <w:i/>
          <w:sz w:val="24"/>
          <w:szCs w:val="24"/>
          <w:lang w:val="sk-SK"/>
        </w:rPr>
        <w:t>Seagon</w:t>
      </w:r>
      <w:proofErr w:type="spellEnd"/>
      <w:r w:rsidRPr="00EF7F92">
        <w:rPr>
          <w:rFonts w:ascii="Times New Roman" w:hAnsi="Times New Roman" w:cs="Times New Roman"/>
          <w:i/>
          <w:sz w:val="24"/>
          <w:szCs w:val="24"/>
          <w:lang w:val="sk-SK"/>
        </w:rPr>
        <w:t xml:space="preserve"> proti Deko Marty</w:t>
      </w:r>
      <w:r>
        <w:rPr>
          <w:rFonts w:ascii="Times New Roman" w:hAnsi="Times New Roman" w:cs="Times New Roman"/>
          <w:sz w:val="24"/>
          <w:szCs w:val="24"/>
          <w:lang w:val="sk-SK"/>
        </w:rPr>
        <w:t xml:space="preserve">, C-213/10 </w:t>
      </w:r>
      <w:r w:rsidR="00646821" w:rsidRPr="00646821">
        <w:rPr>
          <w:rFonts w:ascii="Times New Roman" w:hAnsi="Times New Roman" w:cs="Times New Roman"/>
          <w:i/>
          <w:sz w:val="24"/>
          <w:szCs w:val="24"/>
          <w:lang w:val="sk-SK"/>
        </w:rPr>
        <w:t>F-</w:t>
      </w:r>
      <w:proofErr w:type="spellStart"/>
      <w:r w:rsidR="00646821" w:rsidRPr="00646821">
        <w:rPr>
          <w:rFonts w:ascii="Times New Roman" w:hAnsi="Times New Roman" w:cs="Times New Roman"/>
          <w:i/>
          <w:sz w:val="24"/>
          <w:szCs w:val="24"/>
          <w:lang w:val="sk-SK"/>
        </w:rPr>
        <w:t>Tex</w:t>
      </w:r>
      <w:proofErr w:type="spellEnd"/>
      <w:r w:rsidR="00646821" w:rsidRPr="00646821">
        <w:rPr>
          <w:rFonts w:ascii="Times New Roman" w:hAnsi="Times New Roman" w:cs="Times New Roman"/>
          <w:i/>
          <w:sz w:val="24"/>
          <w:szCs w:val="24"/>
          <w:lang w:val="sk-SK"/>
        </w:rPr>
        <w:t xml:space="preserve"> proti </w:t>
      </w:r>
      <w:proofErr w:type="spellStart"/>
      <w:r w:rsidR="00646821" w:rsidRPr="00646821">
        <w:rPr>
          <w:rFonts w:ascii="Times New Roman" w:hAnsi="Times New Roman" w:cs="Times New Roman"/>
          <w:i/>
          <w:sz w:val="24"/>
          <w:szCs w:val="24"/>
          <w:lang w:val="sk-SK"/>
        </w:rPr>
        <w:t>Lietuvos-Anglijos</w:t>
      </w:r>
      <w:proofErr w:type="spellEnd"/>
      <w:r>
        <w:rPr>
          <w:rFonts w:ascii="Times New Roman" w:hAnsi="Times New Roman" w:cs="Times New Roman"/>
          <w:sz w:val="24"/>
          <w:szCs w:val="24"/>
          <w:lang w:val="sk-SK"/>
        </w:rPr>
        <w:t xml:space="preserve"> a C-649/16 </w:t>
      </w:r>
      <w:r w:rsidRPr="00646821">
        <w:rPr>
          <w:rFonts w:ascii="Times New Roman" w:hAnsi="Times New Roman" w:cs="Times New Roman"/>
          <w:i/>
          <w:sz w:val="24"/>
          <w:szCs w:val="24"/>
          <w:lang w:val="sk-SK"/>
        </w:rPr>
        <w:t>Valach a i.</w:t>
      </w:r>
      <w:r w:rsidR="00646821" w:rsidRPr="00646821">
        <w:rPr>
          <w:rFonts w:ascii="Times New Roman" w:hAnsi="Times New Roman" w:cs="Times New Roman"/>
          <w:i/>
          <w:sz w:val="24"/>
          <w:szCs w:val="24"/>
          <w:lang w:val="sk-SK"/>
        </w:rPr>
        <w:t xml:space="preserve"> proti </w:t>
      </w:r>
      <w:proofErr w:type="spellStart"/>
      <w:r w:rsidR="00646821" w:rsidRPr="00646821">
        <w:rPr>
          <w:rFonts w:ascii="Times New Roman" w:hAnsi="Times New Roman" w:cs="Times New Roman"/>
          <w:i/>
          <w:sz w:val="24"/>
          <w:szCs w:val="24"/>
          <w:lang w:val="sk-SK"/>
        </w:rPr>
        <w:t>Waldviertler</w:t>
      </w:r>
      <w:proofErr w:type="spellEnd"/>
      <w:r w:rsidR="00646821">
        <w:rPr>
          <w:rFonts w:ascii="Times New Roman" w:hAnsi="Times New Roman" w:cs="Times New Roman"/>
          <w:sz w:val="24"/>
          <w:szCs w:val="24"/>
          <w:lang w:val="sk-SK"/>
        </w:rPr>
        <w:t xml:space="preserve">, z ktorej vyplýva že </w:t>
      </w:r>
      <w:r w:rsidR="005F4654">
        <w:rPr>
          <w:rFonts w:ascii="Times New Roman" w:hAnsi="Times New Roman" w:cs="Times New Roman"/>
          <w:sz w:val="24"/>
          <w:szCs w:val="24"/>
          <w:lang w:val="sk-SK"/>
        </w:rPr>
        <w:t>súdy členských štátov, príslušné na začatie konkurzného konania, majú tiež medzinárodnú právomoc rozhodovať o žalobách ktoré vyplývajú priamo z konkurzného konania, alebo sú s takýmto konaním úzko späté. R</w:t>
      </w:r>
      <w:r>
        <w:rPr>
          <w:rFonts w:ascii="Times New Roman" w:hAnsi="Times New Roman" w:cs="Times New Roman"/>
          <w:sz w:val="24"/>
          <w:szCs w:val="24"/>
          <w:lang w:val="sk-SK"/>
        </w:rPr>
        <w:t>ozhodujúcim kritériom na stanovenie oblasti do ktorej patrí určitá žaloba nie je</w:t>
      </w:r>
      <w:r w:rsidR="005F4654">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procesný kontext v rámci ktorého je žaloba podaná, ale jej právny základ. Preto je potrebné preskúmať či právo alebo povinnosť ktoré sú základom žaloby majú svoj pôvod vo všeobecných pravidlách občianskeho alebo obchodného práva, alebo v pravidlách ktoré sú osobitné pre konkurzné konanie. </w:t>
      </w:r>
    </w:p>
    <w:p w14:paraId="5E0CD605" w14:textId="07CB2BC0" w:rsidR="005F4654" w:rsidRDefault="005F4654" w:rsidP="007F77ED">
      <w:pPr>
        <w:spacing w:after="0" w:line="240" w:lineRule="auto"/>
        <w:jc w:val="both"/>
        <w:rPr>
          <w:rFonts w:ascii="Times New Roman" w:hAnsi="Times New Roman" w:cs="Times New Roman"/>
          <w:sz w:val="24"/>
          <w:szCs w:val="24"/>
          <w:lang w:val="sk-SK"/>
        </w:rPr>
      </w:pPr>
    </w:p>
    <w:p w14:paraId="185A28CA" w14:textId="290E07CC" w:rsidR="005F4654" w:rsidRDefault="00670D95"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Ďalej krajský súd poukázal na slovenský zákon o konkurze a reštrukturalizácii</w:t>
      </w:r>
      <w:r>
        <w:rPr>
          <w:rStyle w:val="Odkaznapoznmkupodiarou"/>
          <w:rFonts w:ascii="Times New Roman" w:hAnsi="Times New Roman" w:cs="Times New Roman"/>
          <w:sz w:val="24"/>
          <w:szCs w:val="24"/>
          <w:lang w:val="sk-SK"/>
        </w:rPr>
        <w:footnoteReference w:id="3"/>
      </w:r>
      <w:r>
        <w:rPr>
          <w:rFonts w:ascii="Times New Roman" w:hAnsi="Times New Roman" w:cs="Times New Roman"/>
          <w:sz w:val="24"/>
          <w:szCs w:val="24"/>
          <w:lang w:val="sk-SK"/>
        </w:rPr>
        <w:t xml:space="preserve"> a skutočnosť že konanie o vydanie bezdôvodného obohatenia nefiguruje medzi konaniami vyvolanými konkurzom v zmysle tohto zákona. Podľa prvostupňového okresného súdu i podľa krajského súdu žaloba o vydanie bezdôvodného obohatenia predstavuje autonómnu žalobu, ktorá nie je založená na konkurznom práve a jej podanie nevyžaduje začatie takéhoto typu konania. Samotná skutočnosť že žalobu na vydanie bezdôvodného obohatenia podal správca konkurznej podstaty v mene úpadcu neznamená že ide o spor vyvolaný či súvisiaci s konkurzom. </w:t>
      </w:r>
    </w:p>
    <w:p w14:paraId="359A7FAD" w14:textId="77777777" w:rsidR="00EF7F92" w:rsidRPr="00F86817" w:rsidRDefault="00EF7F92" w:rsidP="007F77ED">
      <w:pPr>
        <w:spacing w:after="0" w:line="240" w:lineRule="auto"/>
        <w:jc w:val="both"/>
        <w:rPr>
          <w:rFonts w:ascii="Times New Roman" w:hAnsi="Times New Roman" w:cs="Times New Roman"/>
          <w:sz w:val="24"/>
          <w:szCs w:val="24"/>
          <w:lang w:val="sk-SK"/>
        </w:rPr>
      </w:pPr>
    </w:p>
    <w:p w14:paraId="45C33A1C" w14:textId="77777777" w:rsidR="007F77ED" w:rsidRPr="00F86817" w:rsidRDefault="007F77ED" w:rsidP="007F77ED">
      <w:pPr>
        <w:spacing w:after="0" w:line="240" w:lineRule="auto"/>
        <w:jc w:val="both"/>
        <w:rPr>
          <w:rFonts w:ascii="Times New Roman" w:hAnsi="Times New Roman" w:cs="Times New Roman"/>
          <w:sz w:val="24"/>
          <w:szCs w:val="24"/>
          <w:lang w:val="sk-SK"/>
        </w:rPr>
      </w:pPr>
    </w:p>
    <w:p w14:paraId="79A6871A" w14:textId="490EBE4C" w:rsidR="002C0842" w:rsidRDefault="00596F8B" w:rsidP="002C0842">
      <w:pPr>
        <w:pStyle w:val="Odsekzoznamu"/>
        <w:numPr>
          <w:ilvl w:val="0"/>
          <w:numId w:val="25"/>
        </w:numPr>
        <w:spacing w:after="0" w:line="240" w:lineRule="auto"/>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Medzinárodná právomoc a súvisiace procesné otázky</w:t>
      </w:r>
    </w:p>
    <w:p w14:paraId="6C757188" w14:textId="34F6CC35" w:rsidR="007F77ED" w:rsidRDefault="007F77ED" w:rsidP="007F77ED">
      <w:pPr>
        <w:spacing w:after="0" w:line="240" w:lineRule="auto"/>
        <w:jc w:val="both"/>
        <w:rPr>
          <w:lang w:val="sk-SK"/>
        </w:rPr>
      </w:pPr>
    </w:p>
    <w:p w14:paraId="6E35E020" w14:textId="0EB70DF0" w:rsidR="007F77ED" w:rsidRPr="0042634D" w:rsidRDefault="0042634D" w:rsidP="007F77ED">
      <w:pPr>
        <w:spacing w:after="0" w:line="240" w:lineRule="auto"/>
        <w:jc w:val="both"/>
        <w:rPr>
          <w:rFonts w:ascii="Times New Roman" w:hAnsi="Times New Roman" w:cs="Times New Roman"/>
          <w:b/>
          <w:sz w:val="24"/>
          <w:szCs w:val="24"/>
          <w:lang w:val="sk-SK"/>
        </w:rPr>
      </w:pPr>
      <w:r>
        <w:rPr>
          <w:rFonts w:ascii="Times New Roman" w:hAnsi="Times New Roman" w:cs="Times New Roman"/>
          <w:sz w:val="24"/>
          <w:szCs w:val="24"/>
          <w:lang w:val="sk-SK"/>
        </w:rPr>
        <w:t xml:space="preserve">Ako už bolo uvedené </w:t>
      </w:r>
      <w:proofErr w:type="spellStart"/>
      <w:r>
        <w:rPr>
          <w:rFonts w:ascii="Times New Roman" w:hAnsi="Times New Roman" w:cs="Times New Roman"/>
          <w:sz w:val="24"/>
          <w:szCs w:val="24"/>
          <w:lang w:val="sk-SK"/>
        </w:rPr>
        <w:t>horevyššie</w:t>
      </w:r>
      <w:proofErr w:type="spellEnd"/>
      <w:r>
        <w:rPr>
          <w:rFonts w:ascii="Times New Roman" w:hAnsi="Times New Roman" w:cs="Times New Roman"/>
          <w:sz w:val="24"/>
          <w:szCs w:val="24"/>
          <w:lang w:val="sk-SK"/>
        </w:rPr>
        <w:t xml:space="preserve">, jedným zo zásadnejších rozhodnutí, ktoré môže mať významný vplyv na súdnu prax v Slovenskej republike je </w:t>
      </w:r>
      <w:r w:rsidRPr="0042634D">
        <w:rPr>
          <w:rFonts w:ascii="Times New Roman" w:hAnsi="Times New Roman" w:cs="Times New Roman"/>
          <w:b/>
          <w:sz w:val="24"/>
          <w:szCs w:val="24"/>
          <w:lang w:val="sk-SK"/>
        </w:rPr>
        <w:t>rozsudok</w:t>
      </w:r>
      <w:r>
        <w:rPr>
          <w:rFonts w:ascii="Times New Roman" w:hAnsi="Times New Roman" w:cs="Times New Roman"/>
          <w:sz w:val="24"/>
          <w:szCs w:val="24"/>
          <w:lang w:val="sk-SK"/>
        </w:rPr>
        <w:t xml:space="preserve"> </w:t>
      </w:r>
      <w:r w:rsidRPr="0042634D">
        <w:rPr>
          <w:rFonts w:ascii="Times New Roman" w:hAnsi="Times New Roman" w:cs="Times New Roman"/>
          <w:b/>
          <w:sz w:val="24"/>
          <w:szCs w:val="24"/>
          <w:lang w:val="sk-SK"/>
        </w:rPr>
        <w:t>Najvyššieho</w:t>
      </w:r>
      <w:r>
        <w:rPr>
          <w:rFonts w:ascii="Times New Roman" w:hAnsi="Times New Roman" w:cs="Times New Roman"/>
          <w:sz w:val="24"/>
          <w:szCs w:val="24"/>
          <w:lang w:val="sk-SK"/>
        </w:rPr>
        <w:t xml:space="preserve"> </w:t>
      </w:r>
      <w:r w:rsidRPr="0042634D">
        <w:rPr>
          <w:rFonts w:ascii="Times New Roman" w:hAnsi="Times New Roman" w:cs="Times New Roman"/>
          <w:b/>
          <w:sz w:val="24"/>
          <w:szCs w:val="24"/>
          <w:lang w:val="sk-SK"/>
        </w:rPr>
        <w:t>súdu</w:t>
      </w:r>
      <w:r>
        <w:rPr>
          <w:rFonts w:ascii="Times New Roman" w:hAnsi="Times New Roman" w:cs="Times New Roman"/>
          <w:sz w:val="24"/>
          <w:szCs w:val="24"/>
          <w:lang w:val="sk-SK"/>
        </w:rPr>
        <w:t xml:space="preserve"> Slovenskej republiky </w:t>
      </w:r>
      <w:r w:rsidRPr="0091302B">
        <w:rPr>
          <w:rFonts w:ascii="Times New Roman" w:hAnsi="Times New Roman" w:cs="Times New Roman"/>
          <w:sz w:val="24"/>
          <w:szCs w:val="24"/>
          <w:lang w:val="sk-SK"/>
        </w:rPr>
        <w:t>zo dňa</w:t>
      </w:r>
      <w:r w:rsidRPr="0091302B">
        <w:rPr>
          <w:rFonts w:ascii="Times New Roman" w:hAnsi="Times New Roman" w:cs="Times New Roman"/>
          <w:b/>
          <w:sz w:val="24"/>
          <w:szCs w:val="24"/>
          <w:lang w:val="sk-SK"/>
        </w:rPr>
        <w:t xml:space="preserve"> 5. mája 2016</w:t>
      </w:r>
      <w:r w:rsidRPr="0091302B">
        <w:rPr>
          <w:rFonts w:ascii="Times New Roman" w:hAnsi="Times New Roman" w:cs="Times New Roman"/>
          <w:sz w:val="24"/>
          <w:szCs w:val="24"/>
          <w:lang w:val="sk-SK"/>
        </w:rPr>
        <w:t xml:space="preserve">, </w:t>
      </w:r>
      <w:proofErr w:type="spellStart"/>
      <w:r w:rsidRPr="0091302B">
        <w:rPr>
          <w:rFonts w:ascii="Times New Roman" w:hAnsi="Times New Roman" w:cs="Times New Roman"/>
          <w:sz w:val="24"/>
          <w:szCs w:val="24"/>
          <w:lang w:val="sk-SK"/>
        </w:rPr>
        <w:t>sp</w:t>
      </w:r>
      <w:proofErr w:type="spellEnd"/>
      <w:r w:rsidRPr="0091302B">
        <w:rPr>
          <w:rFonts w:ascii="Times New Roman" w:hAnsi="Times New Roman" w:cs="Times New Roman"/>
          <w:sz w:val="24"/>
          <w:szCs w:val="24"/>
          <w:lang w:val="sk-SK"/>
        </w:rPr>
        <w:t xml:space="preserve">. zn. </w:t>
      </w:r>
      <w:r w:rsidRPr="0091302B">
        <w:rPr>
          <w:rFonts w:ascii="Times New Roman" w:hAnsi="Times New Roman" w:cs="Times New Roman"/>
          <w:b/>
          <w:sz w:val="24"/>
          <w:szCs w:val="24"/>
          <w:lang w:val="sk-SK"/>
        </w:rPr>
        <w:t xml:space="preserve">5 </w:t>
      </w:r>
      <w:proofErr w:type="spellStart"/>
      <w:r w:rsidRPr="0091302B">
        <w:rPr>
          <w:rFonts w:ascii="Times New Roman" w:hAnsi="Times New Roman" w:cs="Times New Roman"/>
          <w:b/>
          <w:sz w:val="24"/>
          <w:szCs w:val="24"/>
          <w:lang w:val="sk-SK"/>
        </w:rPr>
        <w:t>Obdo</w:t>
      </w:r>
      <w:proofErr w:type="spellEnd"/>
      <w:r w:rsidRPr="0091302B">
        <w:rPr>
          <w:rFonts w:ascii="Times New Roman" w:hAnsi="Times New Roman" w:cs="Times New Roman"/>
          <w:b/>
          <w:sz w:val="24"/>
          <w:szCs w:val="24"/>
          <w:lang w:val="sk-SK"/>
        </w:rPr>
        <w:t>/56/2014</w:t>
      </w:r>
      <w:r w:rsidRPr="0091302B">
        <w:rPr>
          <w:rFonts w:ascii="Times New Roman" w:hAnsi="Times New Roman" w:cs="Times New Roman"/>
          <w:sz w:val="24"/>
          <w:szCs w:val="24"/>
          <w:lang w:val="sk-SK"/>
        </w:rPr>
        <w:t>. Toto rozhodnutie bolo publikované i v </w:t>
      </w:r>
      <w:r w:rsidRPr="0091302B">
        <w:rPr>
          <w:rFonts w:ascii="Times New Roman" w:hAnsi="Times New Roman" w:cs="Times New Roman"/>
          <w:i/>
          <w:sz w:val="24"/>
          <w:szCs w:val="24"/>
          <w:lang w:val="sk-SK"/>
        </w:rPr>
        <w:t>Zbierke stanovísk Najvyššieho súdu a súdov SR</w:t>
      </w:r>
      <w:r w:rsidRPr="0091302B">
        <w:rPr>
          <w:rFonts w:ascii="Times New Roman" w:hAnsi="Times New Roman" w:cs="Times New Roman"/>
          <w:sz w:val="24"/>
          <w:szCs w:val="24"/>
          <w:lang w:val="sk-SK"/>
        </w:rPr>
        <w:t xml:space="preserve"> č. 7 z roku 2017.</w:t>
      </w:r>
      <w:r w:rsidRPr="0091302B">
        <w:rPr>
          <w:rStyle w:val="Odkaznapoznmkupodiarou"/>
          <w:rFonts w:ascii="Times New Roman" w:hAnsi="Times New Roman" w:cs="Times New Roman"/>
          <w:sz w:val="24"/>
          <w:szCs w:val="24"/>
          <w:lang w:val="sk-SK"/>
        </w:rPr>
        <w:footnoteReference w:id="4"/>
      </w:r>
      <w:r w:rsidRPr="0091302B">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Najvyšší súd sa v rozsudku zaoberal </w:t>
      </w:r>
      <w:r w:rsidR="0091302B">
        <w:rPr>
          <w:rFonts w:ascii="Times New Roman" w:hAnsi="Times New Roman" w:cs="Times New Roman"/>
          <w:sz w:val="24"/>
          <w:szCs w:val="24"/>
          <w:lang w:val="sk-SK"/>
        </w:rPr>
        <w:t>vzťah</w:t>
      </w:r>
      <w:r>
        <w:rPr>
          <w:rFonts w:ascii="Times New Roman" w:hAnsi="Times New Roman" w:cs="Times New Roman"/>
          <w:sz w:val="24"/>
          <w:szCs w:val="24"/>
          <w:lang w:val="sk-SK"/>
        </w:rPr>
        <w:t>om</w:t>
      </w:r>
      <w:r w:rsidR="0091302B">
        <w:rPr>
          <w:rFonts w:ascii="Times New Roman" w:hAnsi="Times New Roman" w:cs="Times New Roman"/>
          <w:sz w:val="24"/>
          <w:szCs w:val="24"/>
          <w:lang w:val="sk-SK"/>
        </w:rPr>
        <w:t xml:space="preserve"> vedľajšieho a hlavného konkurzného konania a právomocí správcu v hlavnom konaní vo vzťahu k majetku nachádzajúcemu sa na území štátu v ktorom bolo vyhlásené vedľajšie konkurzné konanie</w:t>
      </w:r>
      <w:r>
        <w:rPr>
          <w:rFonts w:ascii="Times New Roman" w:hAnsi="Times New Roman" w:cs="Times New Roman"/>
          <w:sz w:val="24"/>
          <w:szCs w:val="24"/>
          <w:lang w:val="sk-SK"/>
        </w:rPr>
        <w:t>.</w:t>
      </w:r>
      <w:r>
        <w:rPr>
          <w:rFonts w:ascii="Times New Roman" w:hAnsi="Times New Roman" w:cs="Times New Roman"/>
          <w:b/>
          <w:sz w:val="24"/>
          <w:szCs w:val="24"/>
          <w:lang w:val="sk-SK"/>
        </w:rPr>
        <w:t xml:space="preserve"> </w:t>
      </w:r>
      <w:r w:rsidR="007F77ED" w:rsidRPr="0091302B">
        <w:rPr>
          <w:rFonts w:ascii="Times New Roman" w:hAnsi="Times New Roman" w:cs="Times New Roman"/>
          <w:sz w:val="24"/>
          <w:szCs w:val="24"/>
          <w:lang w:val="sk-SK"/>
        </w:rPr>
        <w:t>Konkurzné konania (hlavné a</w:t>
      </w:r>
      <w:r w:rsidR="0091302B" w:rsidRPr="0091302B">
        <w:rPr>
          <w:rFonts w:ascii="Times New Roman" w:hAnsi="Times New Roman" w:cs="Times New Roman"/>
          <w:sz w:val="24"/>
          <w:szCs w:val="24"/>
          <w:lang w:val="sk-SK"/>
        </w:rPr>
        <w:t>j</w:t>
      </w:r>
      <w:r w:rsidR="007F77ED" w:rsidRPr="0091302B">
        <w:rPr>
          <w:rFonts w:ascii="Times New Roman" w:hAnsi="Times New Roman" w:cs="Times New Roman"/>
          <w:sz w:val="24"/>
          <w:szCs w:val="24"/>
          <w:lang w:val="sk-SK"/>
        </w:rPr>
        <w:t> vedľajšie)</w:t>
      </w:r>
      <w:r w:rsidR="0091302B" w:rsidRPr="0091302B">
        <w:rPr>
          <w:rFonts w:ascii="Times New Roman" w:hAnsi="Times New Roman" w:cs="Times New Roman"/>
          <w:sz w:val="24"/>
          <w:szCs w:val="24"/>
          <w:lang w:val="sk-SK"/>
        </w:rPr>
        <w:t>,</w:t>
      </w:r>
      <w:r w:rsidR="007F77ED" w:rsidRPr="0091302B">
        <w:rPr>
          <w:rFonts w:ascii="Times New Roman" w:hAnsi="Times New Roman" w:cs="Times New Roman"/>
          <w:sz w:val="24"/>
          <w:szCs w:val="24"/>
          <w:lang w:val="sk-SK"/>
        </w:rPr>
        <w:t xml:space="preserve"> v súvislosti s ktorými spor vznikol</w:t>
      </w:r>
      <w:r w:rsidR="0091302B" w:rsidRPr="0091302B">
        <w:rPr>
          <w:rFonts w:ascii="Times New Roman" w:hAnsi="Times New Roman" w:cs="Times New Roman"/>
          <w:sz w:val="24"/>
          <w:szCs w:val="24"/>
          <w:lang w:val="sk-SK"/>
        </w:rPr>
        <w:t>,</w:t>
      </w:r>
      <w:r w:rsidR="007F77ED" w:rsidRPr="0091302B">
        <w:rPr>
          <w:rFonts w:ascii="Times New Roman" w:hAnsi="Times New Roman" w:cs="Times New Roman"/>
          <w:sz w:val="24"/>
          <w:szCs w:val="24"/>
          <w:lang w:val="sk-SK"/>
        </w:rPr>
        <w:t xml:space="preserve"> boli začaté pred nadobudnutím účinnosti revidovaného Nariadenia (EU) 2015/848. Preto všetky odkazy na nariadenie v rozhodnutí Najvyššieho súdu je potrebné rozumieť ako odkazy na Nariadenie (ES) č. 1346/2000.</w:t>
      </w:r>
    </w:p>
    <w:p w14:paraId="23E40F9E" w14:textId="77777777" w:rsidR="007F77ED" w:rsidRDefault="007F77ED" w:rsidP="007F77ED">
      <w:pPr>
        <w:spacing w:after="0" w:line="240" w:lineRule="auto"/>
        <w:jc w:val="both"/>
        <w:rPr>
          <w:rFonts w:ascii="Times New Roman" w:hAnsi="Times New Roman" w:cs="Times New Roman"/>
          <w:sz w:val="24"/>
          <w:szCs w:val="24"/>
          <w:lang w:val="sk-SK"/>
        </w:rPr>
      </w:pPr>
    </w:p>
    <w:p w14:paraId="7F37F67D" w14:textId="77777777" w:rsidR="007F77ED" w:rsidRDefault="007F77ED"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Hlavné konkurzné konanie bolo začaté konkurzným súdom vo Francúzsku dňa 29. mája 2009. V Slovenskej republike začalo vedľajšie konkurzné konanie dňa 28. mája 2010. Slovenská správkyňa konkurznej podstaty zapísala do súpisu majetkovej podstaty úpadcu vo vedľajšom konkurznom konaní vedenom na Slovensku i veci </w:t>
      </w:r>
      <w:r w:rsidRPr="00764FAA">
        <w:rPr>
          <w:rFonts w:ascii="Times New Roman" w:hAnsi="Times New Roman" w:cs="Times New Roman"/>
          <w:sz w:val="24"/>
          <w:szCs w:val="24"/>
          <w:lang w:val="sk-SK"/>
        </w:rPr>
        <w:t xml:space="preserve">patriace do hmotného hnuteľného majetku úpadcu, nachádzajúce sa na území Slovenskej republiky, ktoré ale boli v rámci plánu </w:t>
      </w:r>
      <w:r>
        <w:rPr>
          <w:rFonts w:ascii="Times New Roman" w:hAnsi="Times New Roman" w:cs="Times New Roman"/>
          <w:sz w:val="24"/>
          <w:szCs w:val="24"/>
          <w:lang w:val="sk-SK"/>
        </w:rPr>
        <w:t xml:space="preserve">speňažovania majetku úpadcu prijatého francúzskym súdom prevedené na spoločnosť A., </w:t>
      </w:r>
      <w:proofErr w:type="spellStart"/>
      <w:r>
        <w:rPr>
          <w:rFonts w:ascii="Times New Roman" w:hAnsi="Times New Roman" w:cs="Times New Roman"/>
          <w:sz w:val="24"/>
          <w:szCs w:val="24"/>
          <w:lang w:val="sk-SK"/>
        </w:rPr>
        <w:t>s.r.o</w:t>
      </w:r>
      <w:proofErr w:type="spellEnd"/>
      <w:r>
        <w:rPr>
          <w:rFonts w:ascii="Times New Roman" w:hAnsi="Times New Roman" w:cs="Times New Roman"/>
          <w:sz w:val="24"/>
          <w:szCs w:val="24"/>
          <w:lang w:val="sk-SK"/>
        </w:rPr>
        <w:t>, a to dohodou z 19. januára 2011. Predmetná dohoda bola teda uzavretá po začatí vedľajšieho konkurzného konania na Slovensku a po vyhotovení a uverejnení súpisu majetku dlžníka v tomto vedľajšom konkurznom konaní</w:t>
      </w:r>
      <w:r w:rsidRPr="00F261A8">
        <w:rPr>
          <w:rFonts w:ascii="Times New Roman" w:hAnsi="Times New Roman" w:cs="Times New Roman"/>
          <w:sz w:val="24"/>
          <w:szCs w:val="24"/>
          <w:lang w:val="sk-SK"/>
        </w:rPr>
        <w:t>. Podľa slovenského práva po zapísaní do súpisu majetku úpadcu nemôže iná osoba ako konkurzný správca takýto majetok scudziť alebo inak ním disponovať.</w:t>
      </w:r>
      <w:r w:rsidRPr="00F261A8">
        <w:rPr>
          <w:rStyle w:val="Odkaznapoznmkupodiarou"/>
          <w:rFonts w:ascii="Times New Roman" w:hAnsi="Times New Roman" w:cs="Times New Roman"/>
          <w:sz w:val="24"/>
          <w:szCs w:val="24"/>
          <w:lang w:val="sk-SK"/>
        </w:rPr>
        <w:footnoteReference w:id="5"/>
      </w:r>
      <w:r>
        <w:rPr>
          <w:rFonts w:ascii="Times New Roman" w:hAnsi="Times New Roman" w:cs="Times New Roman"/>
          <w:sz w:val="24"/>
          <w:szCs w:val="24"/>
          <w:lang w:val="sk-SK"/>
        </w:rPr>
        <w:t xml:space="preserve"> </w:t>
      </w:r>
    </w:p>
    <w:p w14:paraId="20F80E4D" w14:textId="77777777" w:rsidR="007F77ED" w:rsidRDefault="007F77ED" w:rsidP="007F77ED">
      <w:pPr>
        <w:spacing w:after="0" w:line="240" w:lineRule="auto"/>
        <w:jc w:val="both"/>
        <w:rPr>
          <w:rFonts w:ascii="Times New Roman" w:hAnsi="Times New Roman" w:cs="Times New Roman"/>
          <w:sz w:val="24"/>
          <w:szCs w:val="24"/>
          <w:lang w:val="sk-SK"/>
        </w:rPr>
      </w:pPr>
    </w:p>
    <w:p w14:paraId="6749613C" w14:textId="77777777" w:rsidR="007F77ED" w:rsidRDefault="007F77ED"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Nový nadobúdateľ predmetných veci, spoločnosť A., sa dožadoval na slovenskom súde vylúčenia týchto vecí, zo súpisu majetkovej podstaty úpadcu. Prvostupňový súd jeho žiadosti nevyhovel. Podľa názoru prvostupňového súdu nedošlo k nadobudnutiu vlastníckeho práva žalobcu, spoločnosti A. k predmetným veciam, vzhľadom na to, že dohoda o prevode vlastníckeho práva z 19.1.2011 bola pre rozpor s horeuvedenými ustanoveniami slovenského konkurzného práva absolútne neplatná. Ako uviedol tento súd, v zmysle Nariadenia o konkurznom konaní, je v okamihu začatia vedľajšieho konkurzného konania všetok majetok ktorý sa nachádza na území štátu v ktorom je vedľajšie konkurzné konanie vyhlásené vyňatý z podstaty patriacej k hlavnému konkurznému konaniu a podlieha ďalej výlučne režimu vedľajšieho konkurzného konania. </w:t>
      </w:r>
    </w:p>
    <w:p w14:paraId="05241CA8" w14:textId="77777777" w:rsidR="007F77ED" w:rsidRDefault="007F77ED" w:rsidP="007F77ED">
      <w:pPr>
        <w:spacing w:after="0" w:line="240" w:lineRule="auto"/>
        <w:jc w:val="both"/>
        <w:rPr>
          <w:rFonts w:ascii="Times New Roman" w:hAnsi="Times New Roman" w:cs="Times New Roman"/>
          <w:sz w:val="24"/>
          <w:szCs w:val="24"/>
          <w:lang w:val="sk-SK"/>
        </w:rPr>
      </w:pPr>
    </w:p>
    <w:p w14:paraId="556C150C" w14:textId="32E96FE5" w:rsidR="007F77ED" w:rsidRDefault="007F77ED"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Rozsudok prvostupňového súdu následne potvrdil odvolací súd i Najvyšší súd Slovenskej republiky</w:t>
      </w:r>
      <w:r w:rsidR="0042634D">
        <w:rPr>
          <w:rFonts w:ascii="Times New Roman" w:hAnsi="Times New Roman" w:cs="Times New Roman"/>
          <w:sz w:val="24"/>
          <w:szCs w:val="24"/>
          <w:lang w:val="sk-SK"/>
        </w:rPr>
        <w:t>, konajúci na základe mimoriadneho opravného prostriedku (dovolania)</w:t>
      </w:r>
      <w:r>
        <w:rPr>
          <w:rFonts w:ascii="Times New Roman" w:hAnsi="Times New Roman" w:cs="Times New Roman"/>
          <w:sz w:val="24"/>
          <w:szCs w:val="24"/>
          <w:lang w:val="sk-SK"/>
        </w:rPr>
        <w:t xml:space="preserve">. Najvyšší súd konštatoval, že rozsudok </w:t>
      </w:r>
      <w:r w:rsidRPr="0042634D">
        <w:rPr>
          <w:rFonts w:ascii="Times New Roman" w:hAnsi="Times New Roman" w:cs="Times New Roman"/>
          <w:sz w:val="24"/>
          <w:szCs w:val="24"/>
          <w:lang w:val="sk-SK"/>
        </w:rPr>
        <w:t>francúzskeho konkurzného súdu</w:t>
      </w:r>
      <w:r>
        <w:rPr>
          <w:rFonts w:ascii="Times New Roman" w:hAnsi="Times New Roman" w:cs="Times New Roman"/>
          <w:sz w:val="24"/>
          <w:szCs w:val="24"/>
          <w:lang w:val="sk-SK"/>
        </w:rPr>
        <w:t xml:space="preserve">, ktorým tento stanovil plán speňaženia aktív úpadcu, sa v zmysle Nariadenia o konkurznom konaní bez ďalšieho uznáva v Slovenskej republike. Avšak, v rozsahu v akom nedošlo k realizácii tohto plánu vo vzťahu k majetku úpadcu nachádzajúcemu sa na území SR do vyhlásenia vedľajšieho konkurzného konania v SR, spadá predmetný majetok do konkurznej podstaty úpadcu  vo vedľajšom konkurznom konaní a je možné s ním od začatia vedľajšieho konkurzného konania nakladať podľa právneho poriadku SR. </w:t>
      </w:r>
    </w:p>
    <w:p w14:paraId="2E705A28" w14:textId="77777777" w:rsidR="007F77ED" w:rsidRDefault="007F77ED" w:rsidP="007F77ED">
      <w:pPr>
        <w:spacing w:after="0" w:line="240" w:lineRule="auto"/>
        <w:jc w:val="both"/>
        <w:rPr>
          <w:rFonts w:ascii="Times New Roman" w:hAnsi="Times New Roman" w:cs="Times New Roman"/>
          <w:sz w:val="24"/>
          <w:szCs w:val="24"/>
          <w:lang w:val="sk-SK"/>
        </w:rPr>
      </w:pPr>
    </w:p>
    <w:p w14:paraId="273F807B" w14:textId="2CAB973C" w:rsidR="007F77ED" w:rsidRDefault="007F77ED"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Najvyšší súd ďalej uviedol že účinky vedľajšieho konkurzného konania nezrušujú účinky hlavného konkurzného konania, ale ich po dobu trvania vedľajšieho konkurzného konania suspendujú </w:t>
      </w:r>
      <w:r w:rsidRPr="00C341C9">
        <w:rPr>
          <w:rFonts w:ascii="Times New Roman" w:hAnsi="Times New Roman" w:cs="Times New Roman"/>
          <w:sz w:val="24"/>
          <w:szCs w:val="24"/>
          <w:lang w:val="sk-SK"/>
        </w:rPr>
        <w:t>a prekrývajú a to v miere v akej to pripúšťa Nariadenie. Poukázal pritom na znenie článku 17 ods. 2 Nariadenia</w:t>
      </w:r>
      <w:r w:rsidR="00F00C85">
        <w:rPr>
          <w:rStyle w:val="Odkaznapoznmkupodiarou"/>
          <w:rFonts w:ascii="Times New Roman" w:hAnsi="Times New Roman" w:cs="Times New Roman"/>
          <w:sz w:val="24"/>
          <w:szCs w:val="24"/>
          <w:lang w:val="sk-SK"/>
        </w:rPr>
        <w:footnoteReference w:id="6"/>
      </w:r>
      <w:r w:rsidRPr="00C341C9">
        <w:rPr>
          <w:rFonts w:ascii="Times New Roman" w:hAnsi="Times New Roman" w:cs="Times New Roman"/>
          <w:sz w:val="24"/>
          <w:szCs w:val="24"/>
          <w:lang w:val="sk-SK"/>
        </w:rPr>
        <w:t>.  Správca konkurznej podstaty v hlavnom</w:t>
      </w:r>
      <w:r>
        <w:rPr>
          <w:rFonts w:ascii="Times New Roman" w:hAnsi="Times New Roman" w:cs="Times New Roman"/>
          <w:sz w:val="24"/>
          <w:szCs w:val="24"/>
          <w:lang w:val="sk-SK"/>
        </w:rPr>
        <w:t xml:space="preserve"> konkurznom konaní nestráca vplyv na majetkovú podstatu ktorá bola zaradená do vedľajšieho konkurzného konania, ale svoje právomoci vykonáva prostredníctvom právomocí poskytnutých v súlade s článkami 31 až 37 Nariadenia. Cieľom obmedzenia správcu v hlavnom konkurznom konaní je vyhnúť sa situáciám, aby sa ten istý majetok stal predmetom právomoci dvoch rôznych správcov a aby sa zabezpečila ochrana veriteľov v členských štátoch, v ktorých bolo začaté vedľajšie konkurzné konanie. Právomoci správcu vo vedľajšom konkurznom konaní sú obmedzené výlučne na majetok, ktorý sa v čase začatia vedľajšieho konkurzného konania nachádza na území štátu v ktorom bolo vedľajšie konkurzné konanie začaté. Takýto majetok je v okamihu začatia vedľajšieho konkurzného konania vyňatý z podstaty hlavného konkurzného konania a podlieha výlučne režimu vedľajšieho konkurzného konania. Prevod majetku patriaceho do vedľajšieho konkurzného konania musí byť realizovaný v súlade s právnym poriadkom štátu v ktorom sa vedie vedľajšie konkurzné konanie. </w:t>
      </w:r>
    </w:p>
    <w:p w14:paraId="4A30C141" w14:textId="77777777" w:rsidR="007F77ED" w:rsidRDefault="007F77ED" w:rsidP="007F77ED">
      <w:pPr>
        <w:spacing w:after="0" w:line="240" w:lineRule="auto"/>
        <w:jc w:val="both"/>
        <w:rPr>
          <w:rFonts w:ascii="Times New Roman" w:hAnsi="Times New Roman" w:cs="Times New Roman"/>
          <w:sz w:val="24"/>
          <w:szCs w:val="24"/>
          <w:lang w:val="sk-SK"/>
        </w:rPr>
      </w:pPr>
    </w:p>
    <w:p w14:paraId="715867DF" w14:textId="65459C75" w:rsidR="007D4926" w:rsidRPr="00565744" w:rsidRDefault="00F00C85" w:rsidP="001A60B9">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Často rozberanou otázkou je </w:t>
      </w:r>
      <w:r w:rsidR="0091302B" w:rsidRPr="00C96FE3">
        <w:rPr>
          <w:rFonts w:ascii="Times New Roman" w:hAnsi="Times New Roman" w:cs="Times New Roman"/>
          <w:sz w:val="24"/>
          <w:szCs w:val="24"/>
          <w:lang w:val="sk-SK"/>
        </w:rPr>
        <w:t xml:space="preserve">v judikatúre slovenských súdov </w:t>
      </w:r>
      <w:r>
        <w:rPr>
          <w:rFonts w:ascii="Times New Roman" w:hAnsi="Times New Roman" w:cs="Times New Roman"/>
          <w:sz w:val="24"/>
          <w:szCs w:val="24"/>
          <w:lang w:val="sk-SK"/>
        </w:rPr>
        <w:t>tiež</w:t>
      </w:r>
      <w:r w:rsidR="00C96FE3" w:rsidRPr="00C96FE3">
        <w:rPr>
          <w:rFonts w:ascii="Times New Roman" w:hAnsi="Times New Roman" w:cs="Times New Roman"/>
          <w:sz w:val="24"/>
          <w:szCs w:val="24"/>
          <w:lang w:val="sk-SK"/>
        </w:rPr>
        <w:t xml:space="preserve"> </w:t>
      </w:r>
      <w:r w:rsidR="00C96FE3" w:rsidRPr="002A3F84">
        <w:rPr>
          <w:rFonts w:ascii="Times New Roman" w:hAnsi="Times New Roman" w:cs="Times New Roman"/>
          <w:b/>
          <w:sz w:val="24"/>
          <w:szCs w:val="24"/>
          <w:lang w:val="sk-SK"/>
        </w:rPr>
        <w:t xml:space="preserve">určenie </w:t>
      </w:r>
      <w:r w:rsidR="00C96FE3" w:rsidRPr="002A3F84">
        <w:rPr>
          <w:rFonts w:ascii="Times New Roman" w:hAnsi="Times New Roman" w:cs="Times New Roman"/>
          <w:b/>
          <w:i/>
          <w:sz w:val="24"/>
          <w:szCs w:val="24"/>
          <w:lang w:val="sk-SK"/>
        </w:rPr>
        <w:t>centra hlavných záujmov dlžníka</w:t>
      </w:r>
      <w:r w:rsidR="00C52068" w:rsidRPr="002A3F84">
        <w:rPr>
          <w:rFonts w:ascii="Times New Roman" w:hAnsi="Times New Roman" w:cs="Times New Roman"/>
          <w:b/>
          <w:sz w:val="24"/>
          <w:szCs w:val="24"/>
          <w:lang w:val="sk-SK"/>
        </w:rPr>
        <w:t>,</w:t>
      </w:r>
      <w:r w:rsidR="00C96FE3" w:rsidRPr="002A3F84">
        <w:rPr>
          <w:rFonts w:ascii="Times New Roman" w:hAnsi="Times New Roman" w:cs="Times New Roman"/>
          <w:b/>
          <w:sz w:val="24"/>
          <w:szCs w:val="24"/>
          <w:lang w:val="sk-SK"/>
        </w:rPr>
        <w:t xml:space="preserve"> tzv. </w:t>
      </w:r>
      <w:r w:rsidR="00831583">
        <w:rPr>
          <w:rFonts w:ascii="Times New Roman" w:hAnsi="Times New Roman" w:cs="Times New Roman"/>
          <w:b/>
          <w:sz w:val="24"/>
          <w:szCs w:val="24"/>
          <w:lang w:val="sk-SK"/>
        </w:rPr>
        <w:t>CHZ</w:t>
      </w:r>
      <w:r w:rsidR="00831583" w:rsidRPr="00831583">
        <w:rPr>
          <w:rFonts w:ascii="Times New Roman" w:hAnsi="Times New Roman" w:cs="Times New Roman"/>
          <w:sz w:val="24"/>
          <w:szCs w:val="24"/>
          <w:lang w:val="sk-SK"/>
        </w:rPr>
        <w:t xml:space="preserve"> (pou</w:t>
      </w:r>
      <w:r>
        <w:rPr>
          <w:rFonts w:ascii="Times New Roman" w:hAnsi="Times New Roman" w:cs="Times New Roman"/>
          <w:sz w:val="24"/>
          <w:szCs w:val="24"/>
          <w:lang w:val="sk-SK"/>
        </w:rPr>
        <w:t>žívaná je tiež anglická skratka</w:t>
      </w:r>
      <w:r w:rsidR="00831583" w:rsidRPr="00831583">
        <w:rPr>
          <w:rFonts w:ascii="Times New Roman" w:hAnsi="Times New Roman" w:cs="Times New Roman"/>
          <w:sz w:val="24"/>
          <w:szCs w:val="24"/>
          <w:lang w:val="sk-SK"/>
        </w:rPr>
        <w:t xml:space="preserve"> </w:t>
      </w:r>
      <w:r w:rsidR="00C96FE3" w:rsidRPr="00831583">
        <w:rPr>
          <w:rFonts w:ascii="Times New Roman" w:hAnsi="Times New Roman" w:cs="Times New Roman"/>
          <w:sz w:val="24"/>
          <w:szCs w:val="24"/>
          <w:lang w:val="sk-SK"/>
        </w:rPr>
        <w:t>COMI</w:t>
      </w:r>
      <w:r w:rsidR="00831583" w:rsidRPr="00831583">
        <w:rPr>
          <w:rFonts w:ascii="Times New Roman" w:hAnsi="Times New Roman" w:cs="Times New Roman"/>
          <w:sz w:val="24"/>
          <w:szCs w:val="24"/>
          <w:lang w:val="sk-SK"/>
        </w:rPr>
        <w:t>)</w:t>
      </w:r>
      <w:r w:rsidR="00C96FE3" w:rsidRPr="00831583">
        <w:rPr>
          <w:rFonts w:ascii="Times New Roman" w:hAnsi="Times New Roman" w:cs="Times New Roman"/>
          <w:sz w:val="24"/>
          <w:szCs w:val="24"/>
          <w:lang w:val="sk-SK"/>
        </w:rPr>
        <w:t>,</w:t>
      </w:r>
      <w:r w:rsidR="002A3F84" w:rsidRPr="00831583">
        <w:rPr>
          <w:rFonts w:ascii="Times New Roman" w:hAnsi="Times New Roman" w:cs="Times New Roman"/>
          <w:sz w:val="24"/>
          <w:szCs w:val="24"/>
          <w:lang w:val="sk-SK"/>
        </w:rPr>
        <w:t xml:space="preserve"> </w:t>
      </w:r>
      <w:r w:rsidR="002A3F84">
        <w:rPr>
          <w:rFonts w:ascii="Times New Roman" w:hAnsi="Times New Roman" w:cs="Times New Roman"/>
          <w:sz w:val="24"/>
          <w:szCs w:val="24"/>
          <w:lang w:val="sk-SK"/>
        </w:rPr>
        <w:t xml:space="preserve">ktoré je nosným </w:t>
      </w:r>
      <w:r w:rsidR="002A3F84" w:rsidRPr="00F00C85">
        <w:rPr>
          <w:rFonts w:ascii="Times New Roman" w:hAnsi="Times New Roman" w:cs="Times New Roman"/>
          <w:sz w:val="24"/>
          <w:szCs w:val="24"/>
          <w:lang w:val="sk-SK"/>
        </w:rPr>
        <w:t>kritériom</w:t>
      </w:r>
      <w:r w:rsidR="00C52068" w:rsidRPr="00F00C85">
        <w:rPr>
          <w:rFonts w:ascii="Times New Roman" w:hAnsi="Times New Roman" w:cs="Times New Roman"/>
          <w:sz w:val="24"/>
          <w:szCs w:val="24"/>
          <w:lang w:val="sk-SK"/>
        </w:rPr>
        <w:t xml:space="preserve"> medzinárodnej právomoci súd</w:t>
      </w:r>
      <w:r w:rsidR="00A166DC" w:rsidRPr="00F00C85">
        <w:rPr>
          <w:rFonts w:ascii="Times New Roman" w:hAnsi="Times New Roman" w:cs="Times New Roman"/>
          <w:sz w:val="24"/>
          <w:szCs w:val="24"/>
          <w:lang w:val="sk-SK"/>
        </w:rPr>
        <w:t>o</w:t>
      </w:r>
      <w:r w:rsidR="00C52068" w:rsidRPr="00F00C85">
        <w:rPr>
          <w:rFonts w:ascii="Times New Roman" w:hAnsi="Times New Roman" w:cs="Times New Roman"/>
          <w:sz w:val="24"/>
          <w:szCs w:val="24"/>
          <w:lang w:val="sk-SK"/>
        </w:rPr>
        <w:t>v</w:t>
      </w:r>
      <w:r w:rsidR="00A166DC" w:rsidRPr="00F00C85">
        <w:rPr>
          <w:rFonts w:ascii="Times New Roman" w:hAnsi="Times New Roman" w:cs="Times New Roman"/>
          <w:sz w:val="24"/>
          <w:szCs w:val="24"/>
          <w:lang w:val="sk-SK"/>
        </w:rPr>
        <w:t xml:space="preserve"> EÚ vo veci konkurzu.</w:t>
      </w:r>
      <w:r w:rsidR="002A3F84" w:rsidRPr="00F00C85">
        <w:rPr>
          <w:rFonts w:ascii="Times New Roman" w:hAnsi="Times New Roman" w:cs="Times New Roman"/>
          <w:sz w:val="24"/>
          <w:szCs w:val="24"/>
          <w:lang w:val="sk-SK"/>
        </w:rPr>
        <w:t xml:space="preserve"> Napriek tomu, že v revidovanom Nariadení o </w:t>
      </w:r>
      <w:proofErr w:type="spellStart"/>
      <w:r w:rsidR="002A3F84" w:rsidRPr="00F00C85">
        <w:rPr>
          <w:rFonts w:ascii="Times New Roman" w:hAnsi="Times New Roman" w:cs="Times New Roman"/>
          <w:sz w:val="24"/>
          <w:szCs w:val="24"/>
          <w:lang w:val="sk-SK"/>
        </w:rPr>
        <w:t>insolvenčnom</w:t>
      </w:r>
      <w:proofErr w:type="spellEnd"/>
      <w:r w:rsidR="002A3F84" w:rsidRPr="00F00C85">
        <w:rPr>
          <w:rFonts w:ascii="Times New Roman" w:hAnsi="Times New Roman" w:cs="Times New Roman"/>
          <w:sz w:val="24"/>
          <w:szCs w:val="24"/>
          <w:lang w:val="sk-SK"/>
        </w:rPr>
        <w:t xml:space="preserve"> konaní č. </w:t>
      </w:r>
      <w:r w:rsidRPr="00F00C85">
        <w:rPr>
          <w:rFonts w:ascii="Times New Roman" w:hAnsi="Times New Roman" w:cs="Times New Roman"/>
          <w:sz w:val="24"/>
          <w:szCs w:val="24"/>
          <w:lang w:val="sk-SK"/>
        </w:rPr>
        <w:t>2015/848</w:t>
      </w:r>
      <w:r w:rsidR="002A3F84" w:rsidRPr="00F00C85">
        <w:rPr>
          <w:rFonts w:ascii="Times New Roman" w:hAnsi="Times New Roman" w:cs="Times New Roman"/>
          <w:sz w:val="24"/>
          <w:szCs w:val="24"/>
          <w:lang w:val="sk-SK"/>
        </w:rPr>
        <w:t xml:space="preserve"> je C</w:t>
      </w:r>
      <w:r w:rsidR="00831583" w:rsidRPr="00F00C85">
        <w:rPr>
          <w:rFonts w:ascii="Times New Roman" w:hAnsi="Times New Roman" w:cs="Times New Roman"/>
          <w:sz w:val="24"/>
          <w:szCs w:val="24"/>
          <w:lang w:val="sk-SK"/>
        </w:rPr>
        <w:t>HZ</w:t>
      </w:r>
      <w:r w:rsidR="002A3F84" w:rsidRPr="00F00C85">
        <w:rPr>
          <w:rFonts w:ascii="Times New Roman" w:hAnsi="Times New Roman" w:cs="Times New Roman"/>
          <w:sz w:val="24"/>
          <w:szCs w:val="24"/>
          <w:lang w:val="sk-SK"/>
        </w:rPr>
        <w:t xml:space="preserve"> precizované už v samotnom článku 3 ods. 1, a to v nadväznosti na výklad tohto pojmu v judikatúre SD EÚ</w:t>
      </w:r>
      <w:r w:rsidR="002A3F84">
        <w:rPr>
          <w:rFonts w:ascii="Times New Roman" w:hAnsi="Times New Roman" w:cs="Times New Roman"/>
          <w:sz w:val="24"/>
          <w:szCs w:val="24"/>
          <w:lang w:val="sk-SK"/>
        </w:rPr>
        <w:t xml:space="preserve"> ktorá môže slúžiť ako podporný zdroj </w:t>
      </w:r>
      <w:r>
        <w:rPr>
          <w:rFonts w:ascii="Times New Roman" w:hAnsi="Times New Roman" w:cs="Times New Roman"/>
          <w:sz w:val="24"/>
          <w:szCs w:val="24"/>
          <w:lang w:val="sk-SK"/>
        </w:rPr>
        <w:t xml:space="preserve">jeho </w:t>
      </w:r>
      <w:r w:rsidR="002A3F84">
        <w:rPr>
          <w:rFonts w:ascii="Times New Roman" w:hAnsi="Times New Roman" w:cs="Times New Roman"/>
          <w:sz w:val="24"/>
          <w:szCs w:val="24"/>
          <w:lang w:val="sk-SK"/>
        </w:rPr>
        <w:t>interpretácie, ukazuje sa že definícia C</w:t>
      </w:r>
      <w:r w:rsidR="00831583">
        <w:rPr>
          <w:rFonts w:ascii="Times New Roman" w:hAnsi="Times New Roman" w:cs="Times New Roman"/>
          <w:sz w:val="24"/>
          <w:szCs w:val="24"/>
          <w:lang w:val="sk-SK"/>
        </w:rPr>
        <w:t>HZ</w:t>
      </w:r>
      <w:r w:rsidR="002A3F84">
        <w:rPr>
          <w:rFonts w:ascii="Times New Roman" w:hAnsi="Times New Roman" w:cs="Times New Roman"/>
          <w:sz w:val="24"/>
          <w:szCs w:val="24"/>
          <w:lang w:val="sk-SK"/>
        </w:rPr>
        <w:t xml:space="preserve"> môže </w:t>
      </w:r>
      <w:r>
        <w:rPr>
          <w:rFonts w:ascii="Times New Roman" w:hAnsi="Times New Roman" w:cs="Times New Roman"/>
          <w:sz w:val="24"/>
          <w:szCs w:val="24"/>
          <w:lang w:val="sk-SK"/>
        </w:rPr>
        <w:lastRenderedPageBreak/>
        <w:t>ešte stále vyvolávať nejasnosti</w:t>
      </w:r>
      <w:r w:rsidR="002A3F84">
        <w:rPr>
          <w:rFonts w:ascii="Times New Roman" w:hAnsi="Times New Roman" w:cs="Times New Roman"/>
          <w:sz w:val="24"/>
          <w:szCs w:val="24"/>
          <w:lang w:val="sk-SK"/>
        </w:rPr>
        <w:t xml:space="preserve">, a to najmä v prípade centra hlavných záujmov dlžníka, fyzickej </w:t>
      </w:r>
      <w:r w:rsidR="002A3F84" w:rsidRPr="00565744">
        <w:rPr>
          <w:rFonts w:ascii="Times New Roman" w:hAnsi="Times New Roman" w:cs="Times New Roman"/>
          <w:sz w:val="24"/>
          <w:szCs w:val="24"/>
          <w:lang w:val="sk-SK"/>
        </w:rPr>
        <w:t>osoby – nepodnikateľa.</w:t>
      </w:r>
      <w:r w:rsidR="001A60B9" w:rsidRPr="00565744">
        <w:rPr>
          <w:rFonts w:ascii="Times New Roman" w:hAnsi="Times New Roman" w:cs="Times New Roman"/>
          <w:sz w:val="24"/>
          <w:szCs w:val="24"/>
          <w:lang w:val="sk-SK"/>
        </w:rPr>
        <w:t xml:space="preserve"> </w:t>
      </w:r>
    </w:p>
    <w:p w14:paraId="787622AD" w14:textId="77777777" w:rsidR="007D4926" w:rsidRPr="00565744" w:rsidRDefault="007D4926" w:rsidP="001A60B9">
      <w:pPr>
        <w:spacing w:after="0" w:line="240" w:lineRule="auto"/>
        <w:jc w:val="both"/>
        <w:rPr>
          <w:rFonts w:ascii="Times New Roman" w:hAnsi="Times New Roman" w:cs="Times New Roman"/>
          <w:sz w:val="24"/>
          <w:szCs w:val="24"/>
          <w:lang w:val="sk-SK"/>
        </w:rPr>
      </w:pPr>
    </w:p>
    <w:p w14:paraId="66B1B7CB" w14:textId="38593ACA" w:rsidR="001A60B9" w:rsidRPr="00565744" w:rsidRDefault="00F00C85" w:rsidP="001A60B9">
      <w:pPr>
        <w:spacing w:after="0" w:line="240" w:lineRule="auto"/>
        <w:jc w:val="both"/>
        <w:rPr>
          <w:rFonts w:ascii="Times New Roman" w:hAnsi="Times New Roman" w:cs="Times New Roman"/>
          <w:sz w:val="24"/>
          <w:szCs w:val="24"/>
          <w:lang w:val="sk-SK"/>
        </w:rPr>
      </w:pPr>
      <w:r w:rsidRPr="00565744">
        <w:rPr>
          <w:rFonts w:ascii="Times New Roman" w:hAnsi="Times New Roman" w:cs="Times New Roman"/>
          <w:sz w:val="24"/>
          <w:szCs w:val="24"/>
          <w:lang w:val="sk-SK"/>
        </w:rPr>
        <w:t>Podľa článku 3 ods. 1 Nariadenia č. 2015/848 je c</w:t>
      </w:r>
      <w:r w:rsidR="00901F48" w:rsidRPr="00565744">
        <w:rPr>
          <w:rFonts w:ascii="Times New Roman" w:hAnsi="Times New Roman" w:cs="Times New Roman"/>
          <w:sz w:val="24"/>
          <w:szCs w:val="24"/>
          <w:lang w:val="sk-SK"/>
        </w:rPr>
        <w:t>entrum hlavných záujmov spoločností alebo p</w:t>
      </w:r>
      <w:r w:rsidR="001A60B9" w:rsidRPr="00565744">
        <w:rPr>
          <w:rFonts w:ascii="Times New Roman" w:hAnsi="Times New Roman" w:cs="Times New Roman"/>
          <w:sz w:val="24"/>
          <w:szCs w:val="24"/>
          <w:lang w:val="sk-SK"/>
        </w:rPr>
        <w:t>rávnických</w:t>
      </w:r>
      <w:r w:rsidR="00901F48" w:rsidRPr="00565744">
        <w:rPr>
          <w:rFonts w:ascii="Times New Roman" w:hAnsi="Times New Roman" w:cs="Times New Roman"/>
          <w:sz w:val="24"/>
          <w:szCs w:val="24"/>
          <w:lang w:val="sk-SK"/>
        </w:rPr>
        <w:t xml:space="preserve"> osôb</w:t>
      </w:r>
      <w:r w:rsidR="001A60B9" w:rsidRPr="00565744">
        <w:rPr>
          <w:rFonts w:ascii="Times New Roman" w:hAnsi="Times New Roman" w:cs="Times New Roman"/>
          <w:sz w:val="24"/>
          <w:szCs w:val="24"/>
          <w:lang w:val="sk-SK"/>
        </w:rPr>
        <w:t xml:space="preserve"> a samostatne zárobkovo činných fyzických osôb, ak sa nepreukáže opak, spájané s</w:t>
      </w:r>
      <w:r w:rsidR="00901F48" w:rsidRPr="00565744">
        <w:rPr>
          <w:rFonts w:ascii="Times New Roman" w:hAnsi="Times New Roman" w:cs="Times New Roman"/>
          <w:sz w:val="24"/>
          <w:szCs w:val="24"/>
          <w:lang w:val="sk-SK"/>
        </w:rPr>
        <w:t> miestom registrovaného sídla spoločnosti alebo PO a miestom podnikania SZČO</w:t>
      </w:r>
      <w:r w:rsidRPr="00565744">
        <w:rPr>
          <w:rFonts w:ascii="Times New Roman" w:hAnsi="Times New Roman" w:cs="Times New Roman"/>
          <w:sz w:val="24"/>
          <w:szCs w:val="24"/>
          <w:lang w:val="sk-SK"/>
        </w:rPr>
        <w:t>. Ide teda o</w:t>
      </w:r>
      <w:r w:rsidR="00901F48" w:rsidRPr="00565744">
        <w:rPr>
          <w:rFonts w:ascii="Times New Roman" w:hAnsi="Times New Roman" w:cs="Times New Roman"/>
          <w:sz w:val="24"/>
          <w:szCs w:val="24"/>
          <w:lang w:val="sk-SK"/>
        </w:rPr>
        <w:t xml:space="preserve"> miesto ktoré je vo väčšine členských štátov zistiteľné z dostupných registrov</w:t>
      </w:r>
      <w:r w:rsidR="001A60B9" w:rsidRPr="00565744">
        <w:rPr>
          <w:rFonts w:ascii="Times New Roman" w:hAnsi="Times New Roman" w:cs="Times New Roman"/>
          <w:sz w:val="24"/>
          <w:szCs w:val="24"/>
          <w:lang w:val="sk-SK"/>
        </w:rPr>
        <w:t xml:space="preserve">. </w:t>
      </w:r>
      <w:r w:rsidR="00901F48" w:rsidRPr="00565744">
        <w:rPr>
          <w:rFonts w:ascii="Times New Roman" w:hAnsi="Times New Roman" w:cs="Times New Roman"/>
          <w:sz w:val="24"/>
          <w:szCs w:val="24"/>
          <w:lang w:val="sk-SK"/>
        </w:rPr>
        <w:t xml:space="preserve">Pri fyzickej osobe nepodnikateľovi sa predpokladá, ak sa nepreukáže opak, že je to jej miesto obvyklého pobytu. </w:t>
      </w:r>
      <w:r w:rsidR="00831583" w:rsidRPr="00565744">
        <w:rPr>
          <w:rFonts w:ascii="Times New Roman" w:hAnsi="Times New Roman" w:cs="Times New Roman"/>
          <w:sz w:val="24"/>
          <w:szCs w:val="24"/>
          <w:lang w:val="sk-SK"/>
        </w:rPr>
        <w:t>Nariadenie v úvode článku 3 ods. 1 formuluje i určité všeobecné kritériá pre určenie CHZ, a to že ide o miesto, kde dlžník pravidelne vykonáva správu svojich záujmov a ktoré je zistiteľné tretími stranami.</w:t>
      </w:r>
    </w:p>
    <w:p w14:paraId="1C67417F" w14:textId="77777777" w:rsidR="002A3F84" w:rsidRPr="00565744" w:rsidRDefault="002A3F84" w:rsidP="007F77ED">
      <w:pPr>
        <w:spacing w:after="0" w:line="240" w:lineRule="auto"/>
        <w:jc w:val="both"/>
        <w:rPr>
          <w:rFonts w:ascii="Times New Roman" w:hAnsi="Times New Roman" w:cs="Times New Roman"/>
          <w:sz w:val="24"/>
          <w:szCs w:val="24"/>
          <w:lang w:val="sk-SK"/>
        </w:rPr>
      </w:pPr>
    </w:p>
    <w:p w14:paraId="16C61984" w14:textId="36D35B43" w:rsidR="00FE7F92" w:rsidRDefault="00565744"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Ako príklad takejto situácie uvádzame uznesenie</w:t>
      </w:r>
      <w:r w:rsidR="00FE7F92">
        <w:rPr>
          <w:rFonts w:ascii="Times New Roman" w:hAnsi="Times New Roman" w:cs="Times New Roman"/>
          <w:sz w:val="24"/>
          <w:szCs w:val="24"/>
          <w:lang w:val="sk-SK"/>
        </w:rPr>
        <w:t xml:space="preserve"> </w:t>
      </w:r>
      <w:r w:rsidR="00FE7F92" w:rsidRPr="00FE7F92">
        <w:rPr>
          <w:rFonts w:ascii="Times New Roman" w:hAnsi="Times New Roman" w:cs="Times New Roman"/>
          <w:b/>
          <w:sz w:val="24"/>
          <w:szCs w:val="24"/>
          <w:lang w:val="sk-SK"/>
        </w:rPr>
        <w:t>Krajsk</w:t>
      </w:r>
      <w:r>
        <w:rPr>
          <w:rFonts w:ascii="Times New Roman" w:hAnsi="Times New Roman" w:cs="Times New Roman"/>
          <w:b/>
          <w:sz w:val="24"/>
          <w:szCs w:val="24"/>
          <w:lang w:val="sk-SK"/>
        </w:rPr>
        <w:t>ého</w:t>
      </w:r>
      <w:r w:rsidR="00FE7F92" w:rsidRPr="00FE7F92">
        <w:rPr>
          <w:rFonts w:ascii="Times New Roman" w:hAnsi="Times New Roman" w:cs="Times New Roman"/>
          <w:b/>
          <w:sz w:val="24"/>
          <w:szCs w:val="24"/>
          <w:lang w:val="sk-SK"/>
        </w:rPr>
        <w:t xml:space="preserve"> súd</w:t>
      </w:r>
      <w:r>
        <w:rPr>
          <w:rFonts w:ascii="Times New Roman" w:hAnsi="Times New Roman" w:cs="Times New Roman"/>
          <w:b/>
          <w:sz w:val="24"/>
          <w:szCs w:val="24"/>
          <w:lang w:val="sk-SK"/>
        </w:rPr>
        <w:t>u</w:t>
      </w:r>
      <w:r w:rsidR="00FE7F92" w:rsidRPr="00FE7F92">
        <w:rPr>
          <w:rFonts w:ascii="Times New Roman" w:hAnsi="Times New Roman" w:cs="Times New Roman"/>
          <w:b/>
          <w:sz w:val="24"/>
          <w:szCs w:val="24"/>
          <w:lang w:val="sk-SK"/>
        </w:rPr>
        <w:t xml:space="preserve"> v Bratislave</w:t>
      </w:r>
      <w:r w:rsidR="00FE7F92">
        <w:rPr>
          <w:rFonts w:ascii="Times New Roman" w:hAnsi="Times New Roman" w:cs="Times New Roman"/>
          <w:sz w:val="24"/>
          <w:szCs w:val="24"/>
          <w:lang w:val="sk-SK"/>
        </w:rPr>
        <w:t xml:space="preserve"> z </w:t>
      </w:r>
      <w:r w:rsidR="00FE7F92" w:rsidRPr="00FE7F92">
        <w:rPr>
          <w:rFonts w:ascii="Times New Roman" w:hAnsi="Times New Roman" w:cs="Times New Roman"/>
          <w:b/>
          <w:sz w:val="24"/>
          <w:szCs w:val="24"/>
          <w:lang w:val="sk-SK"/>
        </w:rPr>
        <w:t>28. 8. 2019</w:t>
      </w:r>
      <w:r w:rsidR="00FE7F92">
        <w:rPr>
          <w:rFonts w:ascii="Times New Roman" w:hAnsi="Times New Roman" w:cs="Times New Roman"/>
          <w:sz w:val="24"/>
          <w:szCs w:val="24"/>
          <w:lang w:val="sk-SK"/>
        </w:rPr>
        <w:t xml:space="preserve"> </w:t>
      </w:r>
      <w:proofErr w:type="spellStart"/>
      <w:r w:rsidR="00FE7F92" w:rsidRPr="00FE7F92">
        <w:rPr>
          <w:rFonts w:ascii="Times New Roman" w:hAnsi="Times New Roman" w:cs="Times New Roman"/>
          <w:b/>
          <w:sz w:val="24"/>
          <w:szCs w:val="24"/>
          <w:lang w:val="sk-SK"/>
        </w:rPr>
        <w:t>sp</w:t>
      </w:r>
      <w:proofErr w:type="spellEnd"/>
      <w:r w:rsidR="00FE7F92" w:rsidRPr="00FE7F92">
        <w:rPr>
          <w:rFonts w:ascii="Times New Roman" w:hAnsi="Times New Roman" w:cs="Times New Roman"/>
          <w:b/>
          <w:sz w:val="24"/>
          <w:szCs w:val="24"/>
          <w:lang w:val="sk-SK"/>
        </w:rPr>
        <w:t xml:space="preserve">. zn. 3 </w:t>
      </w:r>
      <w:proofErr w:type="spellStart"/>
      <w:r w:rsidR="00FE7F92" w:rsidRPr="00FE7F92">
        <w:rPr>
          <w:rFonts w:ascii="Times New Roman" w:hAnsi="Times New Roman" w:cs="Times New Roman"/>
          <w:b/>
          <w:sz w:val="24"/>
          <w:szCs w:val="24"/>
          <w:lang w:val="sk-SK"/>
        </w:rPr>
        <w:t>CoKR</w:t>
      </w:r>
      <w:proofErr w:type="spellEnd"/>
      <w:r w:rsidR="00FE7F92" w:rsidRPr="00FE7F92">
        <w:rPr>
          <w:rFonts w:ascii="Times New Roman" w:hAnsi="Times New Roman" w:cs="Times New Roman"/>
          <w:b/>
          <w:sz w:val="24"/>
          <w:szCs w:val="24"/>
          <w:lang w:val="sk-SK"/>
        </w:rPr>
        <w:t>/53/2019</w:t>
      </w:r>
      <w:r w:rsidR="00FE7F92">
        <w:rPr>
          <w:rFonts w:ascii="Times New Roman" w:hAnsi="Times New Roman" w:cs="Times New Roman"/>
          <w:sz w:val="24"/>
          <w:szCs w:val="24"/>
          <w:lang w:val="sk-SK"/>
        </w:rPr>
        <w:t xml:space="preserve">. Návrh na vyhlásenie konkurzu podal na slovenský súd dlžník, fyzická osoba. Dlžník bol k trvalému pobytu hlásený na území Slovenskej republiky, na danom mieste sa ale nezdržiaval. Dlhodobo, štyri roky žil i s manželkou v Českej republike, v prenajatom byte. Pracovné dni trávil ale v Slovenskej republike, na inom mieste než bol hlásený k trvalému pobytu (v Bratislave), kde býval na zamestnaneckej ubytovni. Dlžník poukazoval na skutočnosť, že zo mzdy ktorú mu vypláca slovenský zamestnávateľ sú v rámci exekúcie vykonávané zrážky zo mzdy, pričom má výlučne slovenských veriteľov. Preto by okrem iného, v prípade konkurzného konania vedeného v inom štáte bolo zbytočne sťažené prihlasovanie ich pohľadávok do takéhoto konkurzného konania. </w:t>
      </w:r>
    </w:p>
    <w:p w14:paraId="14A8956A" w14:textId="77777777" w:rsidR="00FE7F92" w:rsidRDefault="00FE7F92" w:rsidP="007F77ED">
      <w:pPr>
        <w:spacing w:after="0" w:line="240" w:lineRule="auto"/>
        <w:jc w:val="both"/>
        <w:rPr>
          <w:rFonts w:ascii="Times New Roman" w:hAnsi="Times New Roman" w:cs="Times New Roman"/>
          <w:sz w:val="24"/>
          <w:szCs w:val="24"/>
          <w:lang w:val="sk-SK"/>
        </w:rPr>
      </w:pPr>
    </w:p>
    <w:p w14:paraId="4BA27EDC" w14:textId="77777777" w:rsidR="001D02E8" w:rsidRDefault="00FE7F92"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Prvostupňový i krajský súd ale</w:t>
      </w:r>
      <w:r w:rsidR="001D443C">
        <w:rPr>
          <w:rFonts w:ascii="Times New Roman" w:hAnsi="Times New Roman" w:cs="Times New Roman"/>
          <w:sz w:val="24"/>
          <w:szCs w:val="24"/>
          <w:lang w:val="sk-SK"/>
        </w:rPr>
        <w:t xml:space="preserve"> ako</w:t>
      </w:r>
      <w:r>
        <w:rPr>
          <w:rFonts w:ascii="Times New Roman" w:hAnsi="Times New Roman" w:cs="Times New Roman"/>
          <w:sz w:val="24"/>
          <w:szCs w:val="24"/>
          <w:lang w:val="sk-SK"/>
        </w:rPr>
        <w:t xml:space="preserve"> </w:t>
      </w:r>
      <w:r w:rsidR="001D443C">
        <w:rPr>
          <w:rFonts w:ascii="Times New Roman" w:hAnsi="Times New Roman" w:cs="Times New Roman"/>
          <w:sz w:val="24"/>
          <w:szCs w:val="24"/>
          <w:lang w:val="sk-SK"/>
        </w:rPr>
        <w:t>miesto kde má tento dlžník svoje centrum hlavných záujmov určili Českú republiku. Súdy skúmali okolnosti pobytu dlžníka v Českej republike a dôvody jeho prítomnosti v SR. V Českej republike mal dlžník napríklad tiež mobilného operátora i obvodného lekára. Skutočnosť že dlžník má v ČR byt len prenajatý podľa nich nebola rozhodujúca, keďže dlžník mal ťažisko svojho života v ČR. Krajský súd osobitne poukázal na dĺžku pobytu dlžníka v ČR (štyri roky) ktorá dostatočne preukazuje existenciu jeho obvyklého pobytu v </w:t>
      </w:r>
      <w:r w:rsidR="001A60B9">
        <w:rPr>
          <w:rFonts w:ascii="Times New Roman" w:hAnsi="Times New Roman" w:cs="Times New Roman"/>
          <w:sz w:val="24"/>
          <w:szCs w:val="24"/>
          <w:lang w:val="sk-SK"/>
        </w:rPr>
        <w:t>Č</w:t>
      </w:r>
      <w:r w:rsidR="001D443C">
        <w:rPr>
          <w:rFonts w:ascii="Times New Roman" w:hAnsi="Times New Roman" w:cs="Times New Roman"/>
          <w:sz w:val="24"/>
          <w:szCs w:val="24"/>
          <w:lang w:val="sk-SK"/>
        </w:rPr>
        <w:t>R a na druhej strane tvorí reálnu prekážku zistiteľnosti centra hlavných záujmov dlžníka tretími stranami</w:t>
      </w:r>
      <w:r w:rsidR="001A60B9">
        <w:rPr>
          <w:rFonts w:ascii="Times New Roman" w:hAnsi="Times New Roman" w:cs="Times New Roman"/>
          <w:sz w:val="24"/>
          <w:szCs w:val="24"/>
          <w:lang w:val="sk-SK"/>
        </w:rPr>
        <w:t>.</w:t>
      </w:r>
      <w:r w:rsidR="001A60B9">
        <w:rPr>
          <w:rStyle w:val="Odkaznapoznmkupodiarou"/>
          <w:rFonts w:ascii="Times New Roman" w:hAnsi="Times New Roman" w:cs="Times New Roman"/>
          <w:sz w:val="24"/>
          <w:szCs w:val="24"/>
          <w:lang w:val="sk-SK"/>
        </w:rPr>
        <w:footnoteReference w:id="7"/>
      </w:r>
      <w:r w:rsidR="001D443C">
        <w:rPr>
          <w:rFonts w:ascii="Times New Roman" w:hAnsi="Times New Roman" w:cs="Times New Roman"/>
          <w:sz w:val="24"/>
          <w:szCs w:val="24"/>
          <w:lang w:val="sk-SK"/>
        </w:rPr>
        <w:t xml:space="preserve"> </w:t>
      </w:r>
      <w:r w:rsidR="007D4926">
        <w:rPr>
          <w:rFonts w:ascii="Times New Roman" w:hAnsi="Times New Roman" w:cs="Times New Roman"/>
          <w:sz w:val="24"/>
          <w:szCs w:val="24"/>
          <w:lang w:val="sk-SK"/>
        </w:rPr>
        <w:t xml:space="preserve">Je otázne či práve v tomto prípade nemohla byť lokalizácia pravdepodobne jediného príjmu dlžníka a všetkých jeho veriteľov nemohla byť tým faktorom ktorý by preukázal „opak“ tak ako to hovorí článok 3 ods. 1 nariadenia. </w:t>
      </w:r>
    </w:p>
    <w:p w14:paraId="6EFF87FE" w14:textId="77777777" w:rsidR="001D02E8" w:rsidRDefault="001D02E8" w:rsidP="007F77ED">
      <w:pPr>
        <w:spacing w:after="0" w:line="240" w:lineRule="auto"/>
        <w:jc w:val="both"/>
        <w:rPr>
          <w:rFonts w:ascii="Times New Roman" w:hAnsi="Times New Roman" w:cs="Times New Roman"/>
          <w:sz w:val="24"/>
          <w:szCs w:val="24"/>
          <w:lang w:val="sk-SK"/>
        </w:rPr>
      </w:pPr>
    </w:p>
    <w:p w14:paraId="7F36150B" w14:textId="485370F5" w:rsidR="002A3F84" w:rsidRDefault="001D02E8"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Súd, podľa nášho názoru, správne určil miesto obvyklého pobytu dlžníka, nariadenie ale formuluje predpoklad že CHZ dlžníka fyzickej osoby nepodnikateľa je miesto jej obvyklého pobytu ako vyvrátiteľnú domnienku. Odôvodnenie č. 30 nariadenia napríklad uvádza že predpoklad že CHZ takéhoto dlžníka je miesto jeho obvyklého pobytu je možné vyvrátiť pokiaľ sa napríklad hlavná časť majetku dlžníka nachádza mimo členského štátu, v ktorom má dlžník obvyklý pobyt. Odôvodnenie č. 28 zase uvádza že pri posúdení či je takto určené CHZ dlžníka zistiteľné tretími stranami je potrebné osobitne brať do úvahy veriteľov a ich chápanie toho kde dlžník vykonáva správu svojich záujmov. To si môže v prípade zmeny CHZ vyžadovať včasné informovanie veriteľov o novom mieste, z ktorého dlžník vykonáva svoju činnosť.</w:t>
      </w:r>
      <w:r w:rsidR="00E71026">
        <w:rPr>
          <w:rStyle w:val="Odkaznapoznmkupodiarou"/>
          <w:rFonts w:ascii="Times New Roman" w:hAnsi="Times New Roman" w:cs="Times New Roman"/>
          <w:sz w:val="24"/>
          <w:szCs w:val="24"/>
          <w:lang w:val="sk-SK"/>
        </w:rPr>
        <w:footnoteReference w:id="8"/>
      </w:r>
      <w:r>
        <w:rPr>
          <w:rFonts w:ascii="Times New Roman" w:hAnsi="Times New Roman" w:cs="Times New Roman"/>
          <w:sz w:val="24"/>
          <w:szCs w:val="24"/>
          <w:lang w:val="sk-SK"/>
        </w:rPr>
        <w:t xml:space="preserve"> </w:t>
      </w:r>
      <w:r w:rsidR="00E71026">
        <w:rPr>
          <w:rFonts w:ascii="Times New Roman" w:hAnsi="Times New Roman" w:cs="Times New Roman"/>
          <w:sz w:val="24"/>
          <w:szCs w:val="24"/>
          <w:lang w:val="sk-SK"/>
        </w:rPr>
        <w:t xml:space="preserve">Zo </w:t>
      </w:r>
      <w:r w:rsidR="00E71026">
        <w:rPr>
          <w:rFonts w:ascii="Times New Roman" w:hAnsi="Times New Roman" w:cs="Times New Roman"/>
          <w:sz w:val="24"/>
          <w:szCs w:val="24"/>
          <w:lang w:val="sk-SK"/>
        </w:rPr>
        <w:lastRenderedPageBreak/>
        <w:t>znenia odôvodnenia uznesenia nie je zrejmé či sa krajský súd zaoberal i ďalšími okolnosťami prípadu, ako napríklad či a v akej hodnote mal dlžník nejaký ďalší majetok v SR (v ČR ako sám dlžník uvádzal nevlastnil žiadny iný hnuteľný alebo nehnuteľný majetok) kedy vznikli pohľadávky slovenských veriteľov voči dlžníkovi</w:t>
      </w:r>
      <w:r w:rsidR="000015F4">
        <w:rPr>
          <w:rFonts w:ascii="Times New Roman" w:hAnsi="Times New Roman" w:cs="Times New Roman"/>
          <w:sz w:val="24"/>
          <w:szCs w:val="24"/>
          <w:lang w:val="sk-SK"/>
        </w:rPr>
        <w:t xml:space="preserve">, či si veritelia mohli byť vedomí zmeny jeho obvyklého pobytu a pod. </w:t>
      </w:r>
      <w:r w:rsidR="00E71026">
        <w:rPr>
          <w:rFonts w:ascii="Times New Roman" w:hAnsi="Times New Roman" w:cs="Times New Roman"/>
          <w:sz w:val="24"/>
          <w:szCs w:val="24"/>
          <w:lang w:val="sk-SK"/>
        </w:rPr>
        <w:t xml:space="preserve"> </w:t>
      </w:r>
    </w:p>
    <w:p w14:paraId="671D36A3" w14:textId="77777777" w:rsidR="007D4926" w:rsidRDefault="007D4926" w:rsidP="007F77ED">
      <w:pPr>
        <w:spacing w:after="0" w:line="240" w:lineRule="auto"/>
        <w:jc w:val="both"/>
        <w:rPr>
          <w:rFonts w:ascii="Times New Roman" w:hAnsi="Times New Roman" w:cs="Times New Roman"/>
          <w:sz w:val="24"/>
          <w:szCs w:val="24"/>
          <w:lang w:val="sk-SK"/>
        </w:rPr>
      </w:pPr>
    </w:p>
    <w:p w14:paraId="2F336DF7" w14:textId="5EE04BAF" w:rsidR="00FA688B" w:rsidRDefault="00C6162B"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prípade ktorým sa zaoberal </w:t>
      </w:r>
      <w:r w:rsidRPr="00C6162B">
        <w:rPr>
          <w:rFonts w:ascii="Times New Roman" w:hAnsi="Times New Roman" w:cs="Times New Roman"/>
          <w:b/>
          <w:sz w:val="24"/>
          <w:szCs w:val="24"/>
          <w:lang w:val="sk-SK"/>
        </w:rPr>
        <w:t>Krajský súd v Košiciach</w:t>
      </w:r>
      <w:r>
        <w:rPr>
          <w:rFonts w:ascii="Times New Roman" w:hAnsi="Times New Roman" w:cs="Times New Roman"/>
          <w:sz w:val="24"/>
          <w:szCs w:val="24"/>
          <w:lang w:val="sk-SK"/>
        </w:rPr>
        <w:t xml:space="preserve"> v </w:t>
      </w:r>
      <w:r w:rsidRPr="00C6162B">
        <w:rPr>
          <w:rFonts w:ascii="Times New Roman" w:hAnsi="Times New Roman" w:cs="Times New Roman"/>
          <w:b/>
          <w:sz w:val="24"/>
          <w:szCs w:val="24"/>
          <w:lang w:val="sk-SK"/>
        </w:rPr>
        <w:t>uznesení z 31. 3. 2020</w:t>
      </w:r>
      <w:r>
        <w:rPr>
          <w:rFonts w:ascii="Times New Roman" w:hAnsi="Times New Roman" w:cs="Times New Roman"/>
          <w:sz w:val="24"/>
          <w:szCs w:val="24"/>
          <w:lang w:val="sk-SK"/>
        </w:rPr>
        <w:t xml:space="preserve">, </w:t>
      </w:r>
      <w:proofErr w:type="spellStart"/>
      <w:r w:rsidRPr="00C6162B">
        <w:rPr>
          <w:rFonts w:ascii="Times New Roman" w:hAnsi="Times New Roman" w:cs="Times New Roman"/>
          <w:b/>
          <w:sz w:val="24"/>
          <w:szCs w:val="24"/>
          <w:lang w:val="sk-SK"/>
        </w:rPr>
        <w:t>sp</w:t>
      </w:r>
      <w:proofErr w:type="spellEnd"/>
      <w:r w:rsidRPr="00C6162B">
        <w:rPr>
          <w:rFonts w:ascii="Times New Roman" w:hAnsi="Times New Roman" w:cs="Times New Roman"/>
          <w:b/>
          <w:sz w:val="24"/>
          <w:szCs w:val="24"/>
          <w:lang w:val="sk-SK"/>
        </w:rPr>
        <w:t xml:space="preserve">. zn. 2 </w:t>
      </w:r>
      <w:proofErr w:type="spellStart"/>
      <w:r w:rsidRPr="00C6162B">
        <w:rPr>
          <w:rFonts w:ascii="Times New Roman" w:hAnsi="Times New Roman" w:cs="Times New Roman"/>
          <w:b/>
          <w:sz w:val="24"/>
          <w:szCs w:val="24"/>
          <w:lang w:val="sk-SK"/>
        </w:rPr>
        <w:t>CoKR</w:t>
      </w:r>
      <w:proofErr w:type="spellEnd"/>
      <w:r w:rsidRPr="00C6162B">
        <w:rPr>
          <w:rFonts w:ascii="Times New Roman" w:hAnsi="Times New Roman" w:cs="Times New Roman"/>
          <w:b/>
          <w:sz w:val="24"/>
          <w:szCs w:val="24"/>
          <w:lang w:val="sk-SK"/>
        </w:rPr>
        <w:t>/9/2020</w:t>
      </w:r>
      <w:r>
        <w:rPr>
          <w:rFonts w:ascii="Times New Roman" w:hAnsi="Times New Roman" w:cs="Times New Roman"/>
          <w:sz w:val="24"/>
          <w:szCs w:val="24"/>
          <w:lang w:val="sk-SK"/>
        </w:rPr>
        <w:t xml:space="preserve"> </w:t>
      </w:r>
      <w:r w:rsidR="00880FC4">
        <w:rPr>
          <w:rFonts w:ascii="Times New Roman" w:hAnsi="Times New Roman" w:cs="Times New Roman"/>
          <w:sz w:val="24"/>
          <w:szCs w:val="24"/>
          <w:lang w:val="sk-SK"/>
        </w:rPr>
        <w:t xml:space="preserve">žil a pracoval </w:t>
      </w:r>
      <w:r>
        <w:rPr>
          <w:rFonts w:ascii="Times New Roman" w:hAnsi="Times New Roman" w:cs="Times New Roman"/>
          <w:sz w:val="24"/>
          <w:szCs w:val="24"/>
          <w:lang w:val="sk-SK"/>
        </w:rPr>
        <w:t>navrhovateľ – dlžník</w:t>
      </w:r>
      <w:r w:rsidR="00880FC4">
        <w:rPr>
          <w:rFonts w:ascii="Times New Roman" w:hAnsi="Times New Roman" w:cs="Times New Roman"/>
          <w:sz w:val="24"/>
          <w:szCs w:val="24"/>
          <w:lang w:val="sk-SK"/>
        </w:rPr>
        <w:t xml:space="preserve">, po dobu 17 rokov v Českej republike, a to až do konca marca 2019, </w:t>
      </w:r>
      <w:r w:rsidR="000015F4">
        <w:rPr>
          <w:rFonts w:ascii="Times New Roman" w:hAnsi="Times New Roman" w:cs="Times New Roman"/>
          <w:sz w:val="24"/>
          <w:szCs w:val="24"/>
          <w:lang w:val="sk-SK"/>
        </w:rPr>
        <w:t>čo je</w:t>
      </w:r>
      <w:r w:rsidR="00880FC4">
        <w:rPr>
          <w:rFonts w:ascii="Times New Roman" w:hAnsi="Times New Roman" w:cs="Times New Roman"/>
          <w:sz w:val="24"/>
          <w:szCs w:val="24"/>
          <w:lang w:val="sk-SK"/>
        </w:rPr>
        <w:t xml:space="preserve"> približne jedenásť mesiacov pred podaním návrhu na vyhlásenie konkurzu. Dlžník, občan Slovenskej republiky, sa vrátil do Slovenskej republiky po tom čo sa u neho prejavili zdravotné problémy a odišiel na invalidný dôchodok. Dlžník podľa zistenia súdu nemal žiadneho slovenského veriteľa, jeho štyria známi veritelia boli z Českej republiky, v ČR bolo proti dlžníkovi tiež vedené exekučné konanie. Dlžník poberal invalidný dôchodok v ČR i v SR. </w:t>
      </w:r>
    </w:p>
    <w:p w14:paraId="1394FF43" w14:textId="77777777" w:rsidR="00FA688B" w:rsidRDefault="00FA688B" w:rsidP="007F77ED">
      <w:pPr>
        <w:spacing w:after="0" w:line="240" w:lineRule="auto"/>
        <w:jc w:val="both"/>
        <w:rPr>
          <w:rFonts w:ascii="Times New Roman" w:hAnsi="Times New Roman" w:cs="Times New Roman"/>
          <w:sz w:val="24"/>
          <w:szCs w:val="24"/>
          <w:lang w:val="sk-SK"/>
        </w:rPr>
      </w:pPr>
    </w:p>
    <w:p w14:paraId="5A5668EA" w14:textId="30174290" w:rsidR="002A3F84" w:rsidRDefault="00FA688B" w:rsidP="007F77ED">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Súd sa odvolal práve na úvodnú všeobecnú formulu článku 3 ods. 1 Nariadenia o </w:t>
      </w:r>
      <w:proofErr w:type="spellStart"/>
      <w:r>
        <w:rPr>
          <w:rFonts w:ascii="Times New Roman" w:hAnsi="Times New Roman" w:cs="Times New Roman"/>
          <w:sz w:val="24"/>
          <w:szCs w:val="24"/>
          <w:lang w:val="sk-SK"/>
        </w:rPr>
        <w:t>insolvenčnom</w:t>
      </w:r>
      <w:proofErr w:type="spellEnd"/>
      <w:r>
        <w:rPr>
          <w:rFonts w:ascii="Times New Roman" w:hAnsi="Times New Roman" w:cs="Times New Roman"/>
          <w:sz w:val="24"/>
          <w:szCs w:val="24"/>
          <w:lang w:val="sk-SK"/>
        </w:rPr>
        <w:t xml:space="preserve"> konaní, ktorá hovorí že centrum hla</w:t>
      </w:r>
      <w:r w:rsidR="000015F4">
        <w:rPr>
          <w:rFonts w:ascii="Times New Roman" w:hAnsi="Times New Roman" w:cs="Times New Roman"/>
          <w:sz w:val="24"/>
          <w:szCs w:val="24"/>
          <w:lang w:val="sk-SK"/>
        </w:rPr>
        <w:t>vných záujmov dlžníka je miesto</w:t>
      </w:r>
      <w:r>
        <w:rPr>
          <w:rFonts w:ascii="Times New Roman" w:hAnsi="Times New Roman" w:cs="Times New Roman"/>
          <w:sz w:val="24"/>
          <w:szCs w:val="24"/>
          <w:lang w:val="sk-SK"/>
        </w:rPr>
        <w:t xml:space="preserve"> kde dlžník pravidelne vykonáva správu svojich záujmov a ktoré je zistiteľné tretími stranami. Keďže dlžník od októbra 2002 až do marca 2019 pracoval v Českej republike, odkiaľ aj spravoval svoje bežné záležitosti</w:t>
      </w:r>
      <w:r w:rsidR="000015F4">
        <w:rPr>
          <w:rFonts w:ascii="Times New Roman" w:hAnsi="Times New Roman" w:cs="Times New Roman"/>
          <w:sz w:val="24"/>
          <w:szCs w:val="24"/>
          <w:lang w:val="sk-SK"/>
        </w:rPr>
        <w:t>,</w:t>
      </w:r>
      <w:r>
        <w:rPr>
          <w:rFonts w:ascii="Times New Roman" w:hAnsi="Times New Roman" w:cs="Times New Roman"/>
          <w:sz w:val="24"/>
          <w:szCs w:val="24"/>
          <w:lang w:val="sk-SK"/>
        </w:rPr>
        <w:t xml:space="preserve"> a v súčasnosti je</w:t>
      </w:r>
      <w:r w:rsidR="000015F4">
        <w:rPr>
          <w:rFonts w:ascii="Times New Roman" w:hAnsi="Times New Roman" w:cs="Times New Roman"/>
          <w:sz w:val="24"/>
          <w:szCs w:val="24"/>
          <w:lang w:val="sk-SK"/>
        </w:rPr>
        <w:t xml:space="preserve"> mu</w:t>
      </w:r>
      <w:r>
        <w:rPr>
          <w:rFonts w:ascii="Times New Roman" w:hAnsi="Times New Roman" w:cs="Times New Roman"/>
          <w:sz w:val="24"/>
          <w:szCs w:val="24"/>
          <w:lang w:val="sk-SK"/>
        </w:rPr>
        <w:t xml:space="preserve"> odtiaľ vyplácaný invalidný dôchodok, </w:t>
      </w:r>
      <w:r w:rsidR="000015F4">
        <w:rPr>
          <w:rFonts w:ascii="Times New Roman" w:hAnsi="Times New Roman" w:cs="Times New Roman"/>
          <w:sz w:val="24"/>
          <w:szCs w:val="24"/>
          <w:lang w:val="sk-SK"/>
        </w:rPr>
        <w:t>plus</w:t>
      </w:r>
      <w:r>
        <w:rPr>
          <w:rFonts w:ascii="Times New Roman" w:hAnsi="Times New Roman" w:cs="Times New Roman"/>
          <w:sz w:val="24"/>
          <w:szCs w:val="24"/>
          <w:lang w:val="sk-SK"/>
        </w:rPr>
        <w:t> je to tiež krajin</w:t>
      </w:r>
      <w:r w:rsidR="000015F4">
        <w:rPr>
          <w:rFonts w:ascii="Times New Roman" w:hAnsi="Times New Roman" w:cs="Times New Roman"/>
          <w:sz w:val="24"/>
          <w:szCs w:val="24"/>
          <w:lang w:val="sk-SK"/>
        </w:rPr>
        <w:t>a</w:t>
      </w:r>
      <w:r>
        <w:rPr>
          <w:rFonts w:ascii="Times New Roman" w:hAnsi="Times New Roman" w:cs="Times New Roman"/>
          <w:sz w:val="24"/>
          <w:szCs w:val="24"/>
          <w:lang w:val="sk-SK"/>
        </w:rPr>
        <w:t xml:space="preserve"> z ktorej pochádzajú všetci v</w:t>
      </w:r>
      <w:r w:rsidR="000015F4">
        <w:rPr>
          <w:rFonts w:ascii="Times New Roman" w:hAnsi="Times New Roman" w:cs="Times New Roman"/>
          <w:sz w:val="24"/>
          <w:szCs w:val="24"/>
          <w:lang w:val="sk-SK"/>
        </w:rPr>
        <w:t>eritelia dlžníka, mal súd za to</w:t>
      </w:r>
      <w:r>
        <w:rPr>
          <w:rFonts w:ascii="Times New Roman" w:hAnsi="Times New Roman" w:cs="Times New Roman"/>
          <w:sz w:val="24"/>
          <w:szCs w:val="24"/>
          <w:lang w:val="sk-SK"/>
        </w:rPr>
        <w:t xml:space="preserve"> že práve Česká republika je to miesto, ktoré je zistiteľné tretími stranami a  ktoré je možné označiť tiež za centrum hlavných záujmov dlžníka. </w:t>
      </w:r>
    </w:p>
    <w:p w14:paraId="320CD035" w14:textId="77777777" w:rsidR="0091302B" w:rsidRPr="00C96FE3" w:rsidRDefault="0091302B" w:rsidP="007F77ED">
      <w:pPr>
        <w:spacing w:after="0" w:line="240" w:lineRule="auto"/>
        <w:jc w:val="both"/>
        <w:rPr>
          <w:rFonts w:ascii="Times New Roman" w:hAnsi="Times New Roman" w:cs="Times New Roman"/>
          <w:sz w:val="24"/>
          <w:szCs w:val="24"/>
          <w:lang w:val="sk-SK"/>
        </w:rPr>
      </w:pPr>
    </w:p>
    <w:p w14:paraId="27027BD6" w14:textId="77777777" w:rsidR="007F77ED" w:rsidRPr="007F77ED" w:rsidRDefault="007F77ED" w:rsidP="007F77ED">
      <w:pPr>
        <w:spacing w:after="0" w:line="240" w:lineRule="auto"/>
        <w:jc w:val="both"/>
        <w:rPr>
          <w:rFonts w:ascii="Times New Roman" w:hAnsi="Times New Roman" w:cs="Times New Roman"/>
          <w:sz w:val="24"/>
          <w:szCs w:val="24"/>
          <w:lang w:val="sk-SK"/>
        </w:rPr>
      </w:pPr>
    </w:p>
    <w:p w14:paraId="1DF1A1D0" w14:textId="03AA9E11" w:rsidR="002C0842" w:rsidRPr="00596F8B" w:rsidRDefault="002C0842" w:rsidP="00596F8B">
      <w:pPr>
        <w:pStyle w:val="Odsekzoznamu"/>
        <w:numPr>
          <w:ilvl w:val="0"/>
          <w:numId w:val="25"/>
        </w:numPr>
        <w:spacing w:after="0" w:line="240" w:lineRule="auto"/>
        <w:contextualSpacing w:val="0"/>
        <w:jc w:val="both"/>
        <w:rPr>
          <w:rFonts w:ascii="Times New Roman" w:hAnsi="Times New Roman" w:cs="Times New Roman"/>
          <w:sz w:val="24"/>
          <w:szCs w:val="24"/>
          <w:lang w:val="sk-SK"/>
        </w:rPr>
      </w:pPr>
      <w:r w:rsidRPr="00596F8B">
        <w:rPr>
          <w:rFonts w:ascii="Times New Roman" w:hAnsi="Times New Roman" w:cs="Times New Roman"/>
          <w:sz w:val="24"/>
          <w:szCs w:val="24"/>
          <w:lang w:val="sk-SK"/>
        </w:rPr>
        <w:t>A</w:t>
      </w:r>
      <w:r w:rsidR="00596F8B">
        <w:rPr>
          <w:rFonts w:ascii="Times New Roman" w:hAnsi="Times New Roman" w:cs="Times New Roman"/>
          <w:sz w:val="24"/>
          <w:szCs w:val="24"/>
          <w:lang w:val="sk-SK"/>
        </w:rPr>
        <w:t>plikácia jednotných kolíznych noriem</w:t>
      </w:r>
    </w:p>
    <w:p w14:paraId="3974405B" w14:textId="692023A6" w:rsidR="00646610" w:rsidRDefault="00646610" w:rsidP="00646610">
      <w:pPr>
        <w:spacing w:after="0" w:line="240" w:lineRule="auto"/>
        <w:jc w:val="both"/>
        <w:rPr>
          <w:rFonts w:ascii="Times New Roman" w:hAnsi="Times New Roman" w:cs="Times New Roman"/>
          <w:sz w:val="24"/>
          <w:szCs w:val="24"/>
          <w:lang w:val="sk-SK"/>
        </w:rPr>
      </w:pPr>
    </w:p>
    <w:p w14:paraId="3260C11E" w14:textId="365CBFC0" w:rsidR="009B5516" w:rsidRDefault="00220633" w:rsidP="00646610">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Určenie rozhodného práva spravidla nasleduje určenie právomoci slovenského súdu začať hlavné alebo vedľajšie konkurzné konanie. Súdy</w:t>
      </w:r>
      <w:r w:rsidR="000015F4">
        <w:rPr>
          <w:rFonts w:ascii="Times New Roman" w:hAnsi="Times New Roman" w:cs="Times New Roman"/>
          <w:sz w:val="24"/>
          <w:szCs w:val="24"/>
          <w:lang w:val="sk-SK"/>
        </w:rPr>
        <w:t>,</w:t>
      </w:r>
      <w:r>
        <w:rPr>
          <w:rFonts w:ascii="Times New Roman" w:hAnsi="Times New Roman" w:cs="Times New Roman"/>
          <w:sz w:val="24"/>
          <w:szCs w:val="24"/>
          <w:lang w:val="sk-SK"/>
        </w:rPr>
        <w:t xml:space="preserve"> po určení existencie</w:t>
      </w:r>
      <w:r w:rsidR="000015F4">
        <w:rPr>
          <w:rFonts w:ascii="Times New Roman" w:hAnsi="Times New Roman" w:cs="Times New Roman"/>
          <w:sz w:val="24"/>
          <w:szCs w:val="24"/>
          <w:lang w:val="sk-SK"/>
        </w:rPr>
        <w:t xml:space="preserve"> svojej</w:t>
      </w:r>
      <w:r>
        <w:rPr>
          <w:rFonts w:ascii="Times New Roman" w:hAnsi="Times New Roman" w:cs="Times New Roman"/>
          <w:sz w:val="24"/>
          <w:szCs w:val="24"/>
          <w:lang w:val="sk-SK"/>
        </w:rPr>
        <w:t xml:space="preserve"> právomoci </w:t>
      </w:r>
      <w:r w:rsidR="000015F4">
        <w:rPr>
          <w:rFonts w:ascii="Times New Roman" w:hAnsi="Times New Roman" w:cs="Times New Roman"/>
          <w:sz w:val="24"/>
          <w:szCs w:val="24"/>
          <w:lang w:val="sk-SK"/>
        </w:rPr>
        <w:t xml:space="preserve">začať </w:t>
      </w:r>
      <w:r>
        <w:rPr>
          <w:rFonts w:ascii="Times New Roman" w:hAnsi="Times New Roman" w:cs="Times New Roman"/>
          <w:sz w:val="24"/>
          <w:szCs w:val="24"/>
          <w:lang w:val="sk-SK"/>
        </w:rPr>
        <w:t xml:space="preserve"> konkurzné konanie,</w:t>
      </w:r>
      <w:r w:rsidR="000015F4">
        <w:rPr>
          <w:rFonts w:ascii="Times New Roman" w:hAnsi="Times New Roman" w:cs="Times New Roman"/>
          <w:sz w:val="24"/>
          <w:szCs w:val="24"/>
          <w:lang w:val="sk-SK"/>
        </w:rPr>
        <w:t xml:space="preserve"> zvyčajne</w:t>
      </w:r>
      <w:r>
        <w:rPr>
          <w:rFonts w:ascii="Times New Roman" w:hAnsi="Times New Roman" w:cs="Times New Roman"/>
          <w:sz w:val="24"/>
          <w:szCs w:val="24"/>
          <w:lang w:val="sk-SK"/>
        </w:rPr>
        <w:t xml:space="preserve"> konštatujú že konanie sa riadi slovenským právom (článok 4 Nariadenia 1346/2000, alebo čl. 7 revidovaného Nariadenia 2015/848). </w:t>
      </w:r>
    </w:p>
    <w:p w14:paraId="1CEFBCEF" w14:textId="77777777" w:rsidR="006C792D" w:rsidRDefault="006C792D" w:rsidP="00646610">
      <w:pPr>
        <w:spacing w:after="0" w:line="240" w:lineRule="auto"/>
        <w:jc w:val="both"/>
        <w:rPr>
          <w:rFonts w:ascii="Times New Roman" w:hAnsi="Times New Roman" w:cs="Times New Roman"/>
          <w:sz w:val="24"/>
          <w:szCs w:val="24"/>
          <w:lang w:val="sk-SK"/>
        </w:rPr>
      </w:pPr>
    </w:p>
    <w:p w14:paraId="1F34F794" w14:textId="2FA089E0" w:rsidR="000015F4" w:rsidRDefault="006C792D" w:rsidP="00646610">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Obdobne napríklad </w:t>
      </w:r>
      <w:r w:rsidRPr="006C792D">
        <w:rPr>
          <w:rFonts w:ascii="Times New Roman" w:hAnsi="Times New Roman" w:cs="Times New Roman"/>
          <w:b/>
          <w:sz w:val="24"/>
          <w:szCs w:val="24"/>
          <w:lang w:val="sk-SK"/>
        </w:rPr>
        <w:t>Krajský súd v Banskej Bystrici</w:t>
      </w:r>
      <w:r>
        <w:rPr>
          <w:rFonts w:ascii="Times New Roman" w:hAnsi="Times New Roman" w:cs="Times New Roman"/>
          <w:sz w:val="24"/>
          <w:szCs w:val="24"/>
          <w:lang w:val="sk-SK"/>
        </w:rPr>
        <w:t xml:space="preserve"> vo svojom rozsudku </w:t>
      </w:r>
      <w:r w:rsidRPr="006C792D">
        <w:rPr>
          <w:rFonts w:ascii="Times New Roman" w:hAnsi="Times New Roman" w:cs="Times New Roman"/>
          <w:b/>
          <w:sz w:val="24"/>
          <w:szCs w:val="24"/>
          <w:lang w:val="sk-SK"/>
        </w:rPr>
        <w:t>z 24.6.2015</w:t>
      </w:r>
      <w:r>
        <w:rPr>
          <w:rFonts w:ascii="Times New Roman" w:hAnsi="Times New Roman" w:cs="Times New Roman"/>
          <w:sz w:val="24"/>
          <w:szCs w:val="24"/>
          <w:lang w:val="sk-SK"/>
        </w:rPr>
        <w:t xml:space="preserve">, </w:t>
      </w:r>
      <w:proofErr w:type="spellStart"/>
      <w:r w:rsidRPr="006C792D">
        <w:rPr>
          <w:rFonts w:ascii="Times New Roman" w:hAnsi="Times New Roman" w:cs="Times New Roman"/>
          <w:b/>
          <w:sz w:val="24"/>
          <w:szCs w:val="24"/>
          <w:lang w:val="sk-SK"/>
        </w:rPr>
        <w:t>sp</w:t>
      </w:r>
      <w:proofErr w:type="spellEnd"/>
      <w:r w:rsidRPr="006C792D">
        <w:rPr>
          <w:rFonts w:ascii="Times New Roman" w:hAnsi="Times New Roman" w:cs="Times New Roman"/>
          <w:b/>
          <w:sz w:val="24"/>
          <w:szCs w:val="24"/>
          <w:lang w:val="sk-SK"/>
        </w:rPr>
        <w:t xml:space="preserve">. zn. 43 </w:t>
      </w:r>
      <w:proofErr w:type="spellStart"/>
      <w:r w:rsidRPr="006C792D">
        <w:rPr>
          <w:rFonts w:ascii="Times New Roman" w:hAnsi="Times New Roman" w:cs="Times New Roman"/>
          <w:b/>
          <w:sz w:val="24"/>
          <w:szCs w:val="24"/>
          <w:lang w:val="sk-SK"/>
        </w:rPr>
        <w:t>CoKR</w:t>
      </w:r>
      <w:proofErr w:type="spellEnd"/>
      <w:r w:rsidRPr="006C792D">
        <w:rPr>
          <w:rFonts w:ascii="Times New Roman" w:hAnsi="Times New Roman" w:cs="Times New Roman"/>
          <w:b/>
          <w:sz w:val="24"/>
          <w:szCs w:val="24"/>
          <w:lang w:val="sk-SK"/>
        </w:rPr>
        <w:t>/11/2015</w:t>
      </w:r>
      <w:r>
        <w:rPr>
          <w:rFonts w:ascii="Times New Roman" w:hAnsi="Times New Roman" w:cs="Times New Roman"/>
          <w:sz w:val="24"/>
          <w:szCs w:val="24"/>
          <w:lang w:val="sk-SK"/>
        </w:rPr>
        <w:t xml:space="preserve">, v ktorom </w:t>
      </w:r>
      <w:r w:rsidRPr="00B53F3F">
        <w:rPr>
          <w:rFonts w:ascii="Times New Roman" w:hAnsi="Times New Roman" w:cs="Times New Roman"/>
          <w:sz w:val="24"/>
          <w:szCs w:val="24"/>
          <w:lang w:val="sk-SK"/>
        </w:rPr>
        <w:t>rozhodoval o oprávnenosti</w:t>
      </w:r>
      <w:r>
        <w:rPr>
          <w:rFonts w:ascii="Times New Roman" w:hAnsi="Times New Roman" w:cs="Times New Roman"/>
          <w:sz w:val="24"/>
          <w:szCs w:val="24"/>
          <w:lang w:val="sk-SK"/>
        </w:rPr>
        <w:t xml:space="preserve"> pohľadávky prihlásenej do reštruktu</w:t>
      </w:r>
      <w:r w:rsidR="000015F4">
        <w:rPr>
          <w:rFonts w:ascii="Times New Roman" w:hAnsi="Times New Roman" w:cs="Times New Roman"/>
          <w:sz w:val="24"/>
          <w:szCs w:val="24"/>
          <w:lang w:val="sk-SK"/>
        </w:rPr>
        <w:t>ralizačného konania. Základom pohľadávky bol nárok žalobcu (veriteľa) voči úpadcovi, na zaplatenie ceny diela. O tomto nároku už predtým právoplatne rozhodli všeobecné súdy. Reštrukturalizačný správca úpadcu pohľadávku poprel, preto sa veriteľ domáhal na súde určenia oprávnenosti pohľadávky.</w:t>
      </w:r>
      <w:r>
        <w:rPr>
          <w:rFonts w:ascii="Times New Roman" w:hAnsi="Times New Roman" w:cs="Times New Roman"/>
          <w:sz w:val="24"/>
          <w:szCs w:val="24"/>
          <w:lang w:val="sk-SK"/>
        </w:rPr>
        <w:t xml:space="preserve"> </w:t>
      </w:r>
    </w:p>
    <w:p w14:paraId="5F4670C1" w14:textId="77777777" w:rsidR="000015F4" w:rsidRDefault="000015F4" w:rsidP="00646610">
      <w:pPr>
        <w:spacing w:after="0" w:line="240" w:lineRule="auto"/>
        <w:jc w:val="both"/>
        <w:rPr>
          <w:rFonts w:ascii="Times New Roman" w:hAnsi="Times New Roman" w:cs="Times New Roman"/>
          <w:sz w:val="24"/>
          <w:szCs w:val="24"/>
          <w:lang w:val="sk-SK"/>
        </w:rPr>
      </w:pPr>
    </w:p>
    <w:p w14:paraId="64C2327D" w14:textId="55328BFF" w:rsidR="006C792D" w:rsidRDefault="00663FB9" w:rsidP="00646610">
      <w:pPr>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Krajský súd nemal pochybnosti o právomoci slovenského súdu rozhodovať v tejto veci, keďže ide o</w:t>
      </w:r>
      <w:r w:rsidR="00F53492">
        <w:rPr>
          <w:rFonts w:ascii="Times New Roman" w:hAnsi="Times New Roman" w:cs="Times New Roman"/>
          <w:sz w:val="24"/>
          <w:szCs w:val="24"/>
          <w:lang w:val="sk-SK"/>
        </w:rPr>
        <w:t xml:space="preserve"> konanie kvalifikované slovenským právom ako tzv. </w:t>
      </w:r>
      <w:proofErr w:type="spellStart"/>
      <w:r w:rsidR="00F53492">
        <w:rPr>
          <w:rFonts w:ascii="Times New Roman" w:hAnsi="Times New Roman" w:cs="Times New Roman"/>
          <w:sz w:val="24"/>
          <w:szCs w:val="24"/>
          <w:lang w:val="sk-SK"/>
        </w:rPr>
        <w:t>incidenčné</w:t>
      </w:r>
      <w:proofErr w:type="spellEnd"/>
      <w:r w:rsidR="00F53492">
        <w:rPr>
          <w:rFonts w:ascii="Times New Roman" w:hAnsi="Times New Roman" w:cs="Times New Roman"/>
          <w:sz w:val="24"/>
          <w:szCs w:val="24"/>
          <w:lang w:val="sk-SK"/>
        </w:rPr>
        <w:t xml:space="preserve"> konanie, priamo súvisiace s konkurzným konaním, </w:t>
      </w:r>
      <w:r w:rsidR="000015F4">
        <w:rPr>
          <w:rFonts w:ascii="Times New Roman" w:hAnsi="Times New Roman" w:cs="Times New Roman"/>
          <w:sz w:val="24"/>
          <w:szCs w:val="24"/>
          <w:lang w:val="sk-SK"/>
        </w:rPr>
        <w:t>o</w:t>
      </w:r>
      <w:r w:rsidR="00F53492">
        <w:rPr>
          <w:rFonts w:ascii="Times New Roman" w:hAnsi="Times New Roman" w:cs="Times New Roman"/>
          <w:sz w:val="24"/>
          <w:szCs w:val="24"/>
          <w:lang w:val="sk-SK"/>
        </w:rPr>
        <w:t xml:space="preserve"> ktorom </w:t>
      </w:r>
      <w:r>
        <w:rPr>
          <w:rFonts w:ascii="Times New Roman" w:hAnsi="Times New Roman" w:cs="Times New Roman"/>
          <w:sz w:val="24"/>
          <w:szCs w:val="24"/>
          <w:lang w:val="sk-SK"/>
        </w:rPr>
        <w:t xml:space="preserve">rozhoduje konkurzný súd. </w:t>
      </w:r>
      <w:r w:rsidR="000015F4">
        <w:rPr>
          <w:rFonts w:ascii="Times New Roman" w:hAnsi="Times New Roman" w:cs="Times New Roman"/>
          <w:sz w:val="24"/>
          <w:szCs w:val="24"/>
          <w:lang w:val="sk-SK"/>
        </w:rPr>
        <w:t>S</w:t>
      </w:r>
      <w:r w:rsidR="00F53492">
        <w:rPr>
          <w:rFonts w:ascii="Times New Roman" w:hAnsi="Times New Roman" w:cs="Times New Roman"/>
          <w:sz w:val="24"/>
          <w:szCs w:val="24"/>
          <w:lang w:val="sk-SK"/>
        </w:rPr>
        <w:t>úd odvolal</w:t>
      </w:r>
      <w:r w:rsidR="000015F4">
        <w:rPr>
          <w:rFonts w:ascii="Times New Roman" w:hAnsi="Times New Roman" w:cs="Times New Roman"/>
          <w:sz w:val="24"/>
          <w:szCs w:val="24"/>
          <w:lang w:val="sk-SK"/>
        </w:rPr>
        <w:t xml:space="preserve"> tiež</w:t>
      </w:r>
      <w:r w:rsidR="00F53492">
        <w:rPr>
          <w:rFonts w:ascii="Times New Roman" w:hAnsi="Times New Roman" w:cs="Times New Roman"/>
          <w:sz w:val="24"/>
          <w:szCs w:val="24"/>
          <w:lang w:val="sk-SK"/>
        </w:rPr>
        <w:t xml:space="preserve"> na článok 4 Nariadenia č. 1346/2000 a konštatoval že slovenské právo, ako tzv. </w:t>
      </w:r>
      <w:r w:rsidR="00F53492" w:rsidRPr="00F53492">
        <w:rPr>
          <w:rFonts w:ascii="Times New Roman" w:hAnsi="Times New Roman" w:cs="Times New Roman"/>
          <w:i/>
          <w:sz w:val="24"/>
          <w:szCs w:val="24"/>
          <w:lang w:val="sk-SK"/>
        </w:rPr>
        <w:t>lex</w:t>
      </w:r>
      <w:r w:rsidR="00F53492">
        <w:rPr>
          <w:rFonts w:ascii="Times New Roman" w:hAnsi="Times New Roman" w:cs="Times New Roman"/>
          <w:sz w:val="24"/>
          <w:szCs w:val="24"/>
          <w:lang w:val="sk-SK"/>
        </w:rPr>
        <w:t xml:space="preserve"> </w:t>
      </w:r>
      <w:proofErr w:type="spellStart"/>
      <w:r w:rsidR="00F53492" w:rsidRPr="00F53492">
        <w:rPr>
          <w:rFonts w:ascii="Times New Roman" w:hAnsi="Times New Roman" w:cs="Times New Roman"/>
          <w:i/>
          <w:sz w:val="24"/>
          <w:szCs w:val="24"/>
          <w:lang w:val="sk-SK"/>
        </w:rPr>
        <w:t>concursus</w:t>
      </w:r>
      <w:proofErr w:type="spellEnd"/>
      <w:r w:rsidR="000015F4">
        <w:rPr>
          <w:rFonts w:ascii="Times New Roman" w:hAnsi="Times New Roman" w:cs="Times New Roman"/>
          <w:sz w:val="24"/>
          <w:szCs w:val="24"/>
          <w:lang w:val="sk-SK"/>
        </w:rPr>
        <w:t xml:space="preserve"> určuje procesné</w:t>
      </w:r>
      <w:r w:rsidR="00F53492">
        <w:rPr>
          <w:rFonts w:ascii="Times New Roman" w:hAnsi="Times New Roman" w:cs="Times New Roman"/>
          <w:sz w:val="24"/>
          <w:szCs w:val="24"/>
          <w:lang w:val="sk-SK"/>
        </w:rPr>
        <w:t xml:space="preserve"> ale aj hmotnoprávne účinky konkurzného, resp. reštrukturalizačného</w:t>
      </w:r>
      <w:r w:rsidR="000015F4">
        <w:rPr>
          <w:rFonts w:ascii="Times New Roman" w:hAnsi="Times New Roman" w:cs="Times New Roman"/>
          <w:sz w:val="24"/>
          <w:szCs w:val="24"/>
          <w:lang w:val="sk-SK"/>
        </w:rPr>
        <w:t>,</w:t>
      </w:r>
      <w:r w:rsidR="00F53492">
        <w:rPr>
          <w:rFonts w:ascii="Times New Roman" w:hAnsi="Times New Roman" w:cs="Times New Roman"/>
          <w:sz w:val="24"/>
          <w:szCs w:val="24"/>
          <w:lang w:val="sk-SK"/>
        </w:rPr>
        <w:t xml:space="preserve"> konania na osoby a právne vzťahy. </w:t>
      </w:r>
      <w:r w:rsidR="00E72F5E">
        <w:rPr>
          <w:rFonts w:ascii="Times New Roman" w:hAnsi="Times New Roman" w:cs="Times New Roman"/>
          <w:sz w:val="24"/>
          <w:szCs w:val="24"/>
          <w:lang w:val="sk-SK"/>
        </w:rPr>
        <w:t xml:space="preserve">Súd tiež poukázal na rozsudok Súdneho dvora vo veci </w:t>
      </w:r>
      <w:proofErr w:type="spellStart"/>
      <w:r w:rsidR="00E72F5E">
        <w:rPr>
          <w:rFonts w:ascii="Times New Roman" w:hAnsi="Times New Roman" w:cs="Times New Roman"/>
          <w:sz w:val="24"/>
          <w:szCs w:val="24"/>
          <w:lang w:val="sk-SK"/>
        </w:rPr>
        <w:t>Eurofood</w:t>
      </w:r>
      <w:proofErr w:type="spellEnd"/>
      <w:r w:rsidR="00E72F5E">
        <w:rPr>
          <w:rFonts w:ascii="Times New Roman" w:hAnsi="Times New Roman" w:cs="Times New Roman"/>
          <w:sz w:val="24"/>
          <w:szCs w:val="24"/>
          <w:lang w:val="sk-SK"/>
        </w:rPr>
        <w:t xml:space="preserve"> C-341/04. V danom kontexte pôsobí ale tento odkaz ako čisto formálny, nesúvisiaci priamo s </w:t>
      </w:r>
      <w:proofErr w:type="spellStart"/>
      <w:r w:rsidR="00E72F5E">
        <w:rPr>
          <w:rFonts w:ascii="Times New Roman" w:hAnsi="Times New Roman" w:cs="Times New Roman"/>
          <w:sz w:val="24"/>
          <w:szCs w:val="24"/>
          <w:lang w:val="sk-SK"/>
        </w:rPr>
        <w:t>prejednávaným</w:t>
      </w:r>
      <w:proofErr w:type="spellEnd"/>
      <w:r w:rsidR="00E72F5E">
        <w:rPr>
          <w:rFonts w:ascii="Times New Roman" w:hAnsi="Times New Roman" w:cs="Times New Roman"/>
          <w:sz w:val="24"/>
          <w:szCs w:val="24"/>
          <w:lang w:val="sk-SK"/>
        </w:rPr>
        <w:t xml:space="preserve"> problémom. Krajský súd ďalej upozorňuje že predmetom </w:t>
      </w:r>
      <w:proofErr w:type="spellStart"/>
      <w:r w:rsidR="00E72F5E">
        <w:rPr>
          <w:rFonts w:ascii="Times New Roman" w:hAnsi="Times New Roman" w:cs="Times New Roman"/>
          <w:sz w:val="24"/>
          <w:szCs w:val="24"/>
          <w:lang w:val="sk-SK"/>
        </w:rPr>
        <w:t>incidenčného</w:t>
      </w:r>
      <w:proofErr w:type="spellEnd"/>
      <w:r w:rsidR="00E72F5E">
        <w:rPr>
          <w:rFonts w:ascii="Times New Roman" w:hAnsi="Times New Roman" w:cs="Times New Roman"/>
          <w:sz w:val="24"/>
          <w:szCs w:val="24"/>
          <w:lang w:val="sk-SK"/>
        </w:rPr>
        <w:t xml:space="preserve"> konania je určiť či je daný právny základ veriteľom uplatnenej pohľadávky, či je správne </w:t>
      </w:r>
      <w:r w:rsidR="00E72F5E">
        <w:rPr>
          <w:rFonts w:ascii="Times New Roman" w:hAnsi="Times New Roman" w:cs="Times New Roman"/>
          <w:sz w:val="24"/>
          <w:szCs w:val="24"/>
          <w:lang w:val="sk-SK"/>
        </w:rPr>
        <w:lastRenderedPageBreak/>
        <w:t xml:space="preserve">požadovaná výška, poradie a vymáhateľnosť uplatnenej pohľadávky, nie skúmať vecnú správnosť právoplatného súdneho rozhodnutia v ktorom bola pohľadávka veriteľovi priznaná. Na otázky </w:t>
      </w:r>
      <w:proofErr w:type="spellStart"/>
      <w:r w:rsidR="00E72F5E">
        <w:rPr>
          <w:rFonts w:ascii="Times New Roman" w:hAnsi="Times New Roman" w:cs="Times New Roman"/>
          <w:sz w:val="24"/>
          <w:szCs w:val="24"/>
          <w:lang w:val="sk-SK"/>
        </w:rPr>
        <w:t>prejednávané</w:t>
      </w:r>
      <w:proofErr w:type="spellEnd"/>
      <w:r w:rsidR="00E72F5E">
        <w:rPr>
          <w:rFonts w:ascii="Times New Roman" w:hAnsi="Times New Roman" w:cs="Times New Roman"/>
          <w:sz w:val="24"/>
          <w:szCs w:val="24"/>
          <w:lang w:val="sk-SK"/>
        </w:rPr>
        <w:t xml:space="preserve"> v </w:t>
      </w:r>
      <w:proofErr w:type="spellStart"/>
      <w:r w:rsidR="00E72F5E">
        <w:rPr>
          <w:rFonts w:ascii="Times New Roman" w:hAnsi="Times New Roman" w:cs="Times New Roman"/>
          <w:sz w:val="24"/>
          <w:szCs w:val="24"/>
          <w:lang w:val="sk-SK"/>
        </w:rPr>
        <w:t>incidenčnom</w:t>
      </w:r>
      <w:proofErr w:type="spellEnd"/>
      <w:r w:rsidR="00E72F5E">
        <w:rPr>
          <w:rFonts w:ascii="Times New Roman" w:hAnsi="Times New Roman" w:cs="Times New Roman"/>
          <w:sz w:val="24"/>
          <w:szCs w:val="24"/>
          <w:lang w:val="sk-SK"/>
        </w:rPr>
        <w:t xml:space="preserve"> konaní je</w:t>
      </w:r>
      <w:r w:rsidR="000015F4">
        <w:rPr>
          <w:rFonts w:ascii="Times New Roman" w:hAnsi="Times New Roman" w:cs="Times New Roman"/>
          <w:sz w:val="24"/>
          <w:szCs w:val="24"/>
          <w:lang w:val="sk-SK"/>
        </w:rPr>
        <w:t xml:space="preserve"> podľa súdu</w:t>
      </w:r>
      <w:r w:rsidR="00E72F5E">
        <w:rPr>
          <w:rFonts w:ascii="Times New Roman" w:hAnsi="Times New Roman" w:cs="Times New Roman"/>
          <w:sz w:val="24"/>
          <w:szCs w:val="24"/>
          <w:lang w:val="sk-SK"/>
        </w:rPr>
        <w:t xml:space="preserve"> namieste aplikovať slovenské právo</w:t>
      </w:r>
      <w:r w:rsidR="000015F4">
        <w:rPr>
          <w:rFonts w:ascii="Times New Roman" w:hAnsi="Times New Roman" w:cs="Times New Roman"/>
          <w:sz w:val="24"/>
          <w:szCs w:val="24"/>
          <w:lang w:val="sk-SK"/>
        </w:rPr>
        <w:t>, ako právo rozhodné v zmysle článku 4 nariadenia</w:t>
      </w:r>
      <w:r w:rsidR="00B53F3F">
        <w:rPr>
          <w:rFonts w:ascii="Times New Roman" w:hAnsi="Times New Roman" w:cs="Times New Roman"/>
          <w:sz w:val="24"/>
          <w:szCs w:val="24"/>
          <w:lang w:val="sk-SK"/>
        </w:rPr>
        <w:t>.</w:t>
      </w:r>
    </w:p>
    <w:p w14:paraId="21187BCD" w14:textId="77777777" w:rsidR="00220633" w:rsidRDefault="00220633" w:rsidP="00646610">
      <w:pPr>
        <w:spacing w:after="0" w:line="240" w:lineRule="auto"/>
        <w:jc w:val="both"/>
        <w:rPr>
          <w:rFonts w:ascii="Times New Roman" w:hAnsi="Times New Roman" w:cs="Times New Roman"/>
          <w:sz w:val="24"/>
          <w:szCs w:val="24"/>
          <w:lang w:val="sk-SK"/>
        </w:rPr>
      </w:pPr>
    </w:p>
    <w:p w14:paraId="67179A0E" w14:textId="77777777" w:rsidR="00646610" w:rsidRPr="00646610" w:rsidRDefault="00646610" w:rsidP="00646610">
      <w:pPr>
        <w:spacing w:after="0" w:line="240" w:lineRule="auto"/>
        <w:jc w:val="both"/>
        <w:rPr>
          <w:rFonts w:ascii="Times New Roman" w:hAnsi="Times New Roman" w:cs="Times New Roman"/>
          <w:sz w:val="24"/>
          <w:szCs w:val="24"/>
          <w:lang w:val="sk-SK"/>
        </w:rPr>
      </w:pPr>
    </w:p>
    <w:p w14:paraId="59D975BD" w14:textId="03F8DFEF" w:rsidR="002C0842" w:rsidRPr="00646610" w:rsidRDefault="00596F8B" w:rsidP="002C0842">
      <w:pPr>
        <w:pStyle w:val="Odsekzoznamu"/>
        <w:numPr>
          <w:ilvl w:val="0"/>
          <w:numId w:val="25"/>
        </w:numPr>
        <w:spacing w:after="0" w:line="240" w:lineRule="auto"/>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Závery</w:t>
      </w:r>
    </w:p>
    <w:p w14:paraId="0686B0F3" w14:textId="7D4ADEC6" w:rsidR="002C0842" w:rsidRPr="00646610" w:rsidRDefault="00596F8B" w:rsidP="00573EA6">
      <w:pPr>
        <w:pStyle w:val="Odsekzoznamu"/>
        <w:numPr>
          <w:ilvl w:val="0"/>
          <w:numId w:val="39"/>
        </w:numPr>
        <w:spacing w:after="0" w:line="240" w:lineRule="auto"/>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Problémové oblasti</w:t>
      </w:r>
    </w:p>
    <w:p w14:paraId="783F1338" w14:textId="3282A0C9" w:rsidR="002C0842" w:rsidRPr="00646610" w:rsidRDefault="00596F8B" w:rsidP="00573EA6">
      <w:pPr>
        <w:pStyle w:val="Odsekzoznamu"/>
        <w:numPr>
          <w:ilvl w:val="0"/>
          <w:numId w:val="39"/>
        </w:numPr>
        <w:spacing w:after="0" w:line="240" w:lineRule="auto"/>
        <w:contextualSpacing w:val="0"/>
        <w:jc w:val="both"/>
        <w:rPr>
          <w:rFonts w:ascii="Times New Roman" w:hAnsi="Times New Roman" w:cs="Times New Roman"/>
          <w:sz w:val="24"/>
          <w:szCs w:val="24"/>
          <w:lang w:val="sk-SK"/>
        </w:rPr>
      </w:pPr>
      <w:r>
        <w:rPr>
          <w:rFonts w:ascii="Times New Roman" w:hAnsi="Times New Roman" w:cs="Times New Roman"/>
          <w:sz w:val="24"/>
          <w:szCs w:val="24"/>
          <w:lang w:val="sk-SK"/>
        </w:rPr>
        <w:t>Navrhované riešenia a príklad dobrej praxe</w:t>
      </w:r>
    </w:p>
    <w:p w14:paraId="26D14D59" w14:textId="5E152744" w:rsidR="002C0842" w:rsidRPr="006B6219" w:rsidRDefault="002C0842" w:rsidP="002C0842">
      <w:pPr>
        <w:spacing w:after="0" w:line="240" w:lineRule="auto"/>
        <w:jc w:val="both"/>
        <w:rPr>
          <w:rFonts w:ascii="Times New Roman" w:hAnsi="Times New Roman" w:cs="Times New Roman"/>
          <w:sz w:val="24"/>
          <w:szCs w:val="24"/>
          <w:lang w:val="sk-SK"/>
        </w:rPr>
      </w:pPr>
    </w:p>
    <w:p w14:paraId="597CB67E" w14:textId="748796A7" w:rsidR="009C0648" w:rsidRDefault="006B6219" w:rsidP="006B6219">
      <w:pPr>
        <w:jc w:val="both"/>
        <w:rPr>
          <w:rFonts w:ascii="Times New Roman" w:hAnsi="Times New Roman" w:cs="Times New Roman"/>
          <w:sz w:val="24"/>
          <w:szCs w:val="24"/>
          <w:lang w:val="sk-SK"/>
        </w:rPr>
      </w:pPr>
      <w:r w:rsidRPr="006B6219">
        <w:rPr>
          <w:rFonts w:ascii="Times New Roman" w:hAnsi="Times New Roman" w:cs="Times New Roman"/>
          <w:sz w:val="24"/>
          <w:szCs w:val="24"/>
          <w:lang w:val="sk-SK"/>
        </w:rPr>
        <w:t>J</w:t>
      </w:r>
      <w:r>
        <w:rPr>
          <w:rFonts w:ascii="Times New Roman" w:hAnsi="Times New Roman" w:cs="Times New Roman"/>
          <w:sz w:val="24"/>
          <w:szCs w:val="24"/>
          <w:lang w:val="sk-SK"/>
        </w:rPr>
        <w:t>udikatúra slovenských súdov naznačuje že najčastejšie riešená otázka</w:t>
      </w:r>
      <w:r w:rsidR="00EF66CC">
        <w:rPr>
          <w:rFonts w:ascii="Times New Roman" w:hAnsi="Times New Roman" w:cs="Times New Roman"/>
          <w:sz w:val="24"/>
          <w:szCs w:val="24"/>
          <w:lang w:val="sk-SK"/>
        </w:rPr>
        <w:t>,</w:t>
      </w:r>
      <w:r>
        <w:rPr>
          <w:rFonts w:ascii="Times New Roman" w:hAnsi="Times New Roman" w:cs="Times New Roman"/>
          <w:sz w:val="24"/>
          <w:szCs w:val="24"/>
          <w:lang w:val="sk-SK"/>
        </w:rPr>
        <w:t xml:space="preserve"> v súvislosti s aplikáciou Nariadenia (EÚ) č. 2015/848 o </w:t>
      </w:r>
      <w:proofErr w:type="spellStart"/>
      <w:r>
        <w:rPr>
          <w:rFonts w:ascii="Times New Roman" w:hAnsi="Times New Roman" w:cs="Times New Roman"/>
          <w:sz w:val="24"/>
          <w:szCs w:val="24"/>
          <w:lang w:val="sk-SK"/>
        </w:rPr>
        <w:t>insolvenčnom</w:t>
      </w:r>
      <w:proofErr w:type="spellEnd"/>
      <w:r>
        <w:rPr>
          <w:rFonts w:ascii="Times New Roman" w:hAnsi="Times New Roman" w:cs="Times New Roman"/>
          <w:sz w:val="24"/>
          <w:szCs w:val="24"/>
          <w:lang w:val="sk-SK"/>
        </w:rPr>
        <w:t xml:space="preserve"> konaní </w:t>
      </w:r>
      <w:r w:rsidR="00EF66CC">
        <w:rPr>
          <w:rFonts w:ascii="Times New Roman" w:hAnsi="Times New Roman" w:cs="Times New Roman"/>
          <w:sz w:val="24"/>
          <w:szCs w:val="24"/>
          <w:lang w:val="sk-SK"/>
        </w:rPr>
        <w:t xml:space="preserve">(ako </w:t>
      </w:r>
      <w:r>
        <w:rPr>
          <w:rFonts w:ascii="Times New Roman" w:hAnsi="Times New Roman" w:cs="Times New Roman"/>
          <w:sz w:val="24"/>
          <w:szCs w:val="24"/>
          <w:lang w:val="sk-SK"/>
        </w:rPr>
        <w:t>i jeho predchodcu Nariadenia (ES) č. 1346/2000</w:t>
      </w:r>
      <w:r w:rsidR="00EF66CC">
        <w:rPr>
          <w:rFonts w:ascii="Times New Roman" w:hAnsi="Times New Roman" w:cs="Times New Roman"/>
          <w:sz w:val="24"/>
          <w:szCs w:val="24"/>
          <w:lang w:val="sk-SK"/>
        </w:rPr>
        <w:t>)</w:t>
      </w:r>
      <w:r>
        <w:rPr>
          <w:rFonts w:ascii="Times New Roman" w:hAnsi="Times New Roman" w:cs="Times New Roman"/>
          <w:sz w:val="24"/>
          <w:szCs w:val="24"/>
          <w:lang w:val="sk-SK"/>
        </w:rPr>
        <w:t xml:space="preserve">, je otázka právomoci slovenských súdov začať hlavné </w:t>
      </w:r>
      <w:proofErr w:type="spellStart"/>
      <w:r>
        <w:rPr>
          <w:rFonts w:ascii="Times New Roman" w:hAnsi="Times New Roman" w:cs="Times New Roman"/>
          <w:sz w:val="24"/>
          <w:szCs w:val="24"/>
          <w:lang w:val="sk-SK"/>
        </w:rPr>
        <w:t>insolvenčné</w:t>
      </w:r>
      <w:proofErr w:type="spellEnd"/>
      <w:r>
        <w:rPr>
          <w:rFonts w:ascii="Times New Roman" w:hAnsi="Times New Roman" w:cs="Times New Roman"/>
          <w:sz w:val="24"/>
          <w:szCs w:val="24"/>
          <w:lang w:val="sk-SK"/>
        </w:rPr>
        <w:t xml:space="preserve"> konanie. Kľúčovým je pritom správne určenie tzv. centra hlavných záujmov dlžníka. Napriek tomu že nariadenie, v nadväznosti na ustálenú judikatúru Súdneho dvora EÚ, obsahuje pomerne detailné vodítka pre definovanie centra hlavných záujmov dlžníka, </w:t>
      </w:r>
      <w:r w:rsidR="009C0648">
        <w:rPr>
          <w:rFonts w:ascii="Times New Roman" w:hAnsi="Times New Roman" w:cs="Times New Roman"/>
          <w:sz w:val="24"/>
          <w:szCs w:val="24"/>
          <w:lang w:val="sk-SK"/>
        </w:rPr>
        <w:t>ukazuje sa</w:t>
      </w:r>
      <w:r>
        <w:rPr>
          <w:rFonts w:ascii="Times New Roman" w:hAnsi="Times New Roman" w:cs="Times New Roman"/>
          <w:sz w:val="24"/>
          <w:szCs w:val="24"/>
          <w:lang w:val="sk-SK"/>
        </w:rPr>
        <w:t xml:space="preserve"> že</w:t>
      </w:r>
      <w:r w:rsidR="009C0648">
        <w:rPr>
          <w:rFonts w:ascii="Times New Roman" w:hAnsi="Times New Roman" w:cs="Times New Roman"/>
          <w:sz w:val="24"/>
          <w:szCs w:val="24"/>
          <w:lang w:val="sk-SK"/>
        </w:rPr>
        <w:t xml:space="preserve"> určenie tohto miesta môže byť stále komplikované, a to</w:t>
      </w:r>
      <w:r>
        <w:rPr>
          <w:rFonts w:ascii="Times New Roman" w:hAnsi="Times New Roman" w:cs="Times New Roman"/>
          <w:sz w:val="24"/>
          <w:szCs w:val="24"/>
          <w:lang w:val="sk-SK"/>
        </w:rPr>
        <w:t xml:space="preserve"> najmä v prípade dlžníkov fyzických osôb ktoré nie sú samos</w:t>
      </w:r>
      <w:r w:rsidR="009C0648">
        <w:rPr>
          <w:rFonts w:ascii="Times New Roman" w:hAnsi="Times New Roman" w:cs="Times New Roman"/>
          <w:sz w:val="24"/>
          <w:szCs w:val="24"/>
          <w:lang w:val="sk-SK"/>
        </w:rPr>
        <w:t>tatne zárobkovo činnými osobami</w:t>
      </w:r>
      <w:r>
        <w:rPr>
          <w:rFonts w:ascii="Times New Roman" w:hAnsi="Times New Roman" w:cs="Times New Roman"/>
          <w:sz w:val="24"/>
          <w:szCs w:val="24"/>
          <w:lang w:val="sk-SK"/>
        </w:rPr>
        <w:t xml:space="preserve">. </w:t>
      </w:r>
      <w:r w:rsidR="009C0648">
        <w:rPr>
          <w:rFonts w:ascii="Times New Roman" w:hAnsi="Times New Roman" w:cs="Times New Roman"/>
          <w:sz w:val="24"/>
          <w:szCs w:val="24"/>
          <w:lang w:val="sk-SK"/>
        </w:rPr>
        <w:t xml:space="preserve">Ide najmä o prípady </w:t>
      </w:r>
      <w:r w:rsidR="00D77CAB">
        <w:rPr>
          <w:rFonts w:ascii="Times New Roman" w:hAnsi="Times New Roman" w:cs="Times New Roman"/>
          <w:sz w:val="24"/>
          <w:szCs w:val="24"/>
          <w:lang w:val="sk-SK"/>
        </w:rPr>
        <w:t>osôb</w:t>
      </w:r>
      <w:r w:rsidR="009C0648">
        <w:rPr>
          <w:rFonts w:ascii="Times New Roman" w:hAnsi="Times New Roman" w:cs="Times New Roman"/>
          <w:sz w:val="24"/>
          <w:szCs w:val="24"/>
          <w:lang w:val="sk-SK"/>
        </w:rPr>
        <w:t xml:space="preserve"> ktoré majú ekonomické väzby v jednom členskom štáte a osobné väzby v inom členskom štáte. </w:t>
      </w:r>
      <w:r w:rsidR="00D77CAB">
        <w:rPr>
          <w:rFonts w:ascii="Times New Roman" w:hAnsi="Times New Roman" w:cs="Times New Roman"/>
          <w:sz w:val="24"/>
          <w:szCs w:val="24"/>
          <w:lang w:val="sk-SK"/>
        </w:rPr>
        <w:t>Takéto situácie sú spojené s voľným pohybom osôb v EÚ a je možné predpokladať že budú len narastať. Napríklad i aktuálne prebiehajúca pandémia odhalila aká početná je v Slov</w:t>
      </w:r>
      <w:r w:rsidR="00EF66CC">
        <w:rPr>
          <w:rFonts w:ascii="Times New Roman" w:hAnsi="Times New Roman" w:cs="Times New Roman"/>
          <w:sz w:val="24"/>
          <w:szCs w:val="24"/>
          <w:lang w:val="sk-SK"/>
        </w:rPr>
        <w:t xml:space="preserve">enskej republike skupina tzv.  </w:t>
      </w:r>
      <w:proofErr w:type="spellStart"/>
      <w:r w:rsidR="00D77CAB">
        <w:rPr>
          <w:rFonts w:ascii="Times New Roman" w:hAnsi="Times New Roman" w:cs="Times New Roman"/>
          <w:sz w:val="24"/>
          <w:szCs w:val="24"/>
          <w:lang w:val="sk-SK"/>
        </w:rPr>
        <w:t>pendlerov</w:t>
      </w:r>
      <w:proofErr w:type="spellEnd"/>
      <w:r w:rsidR="00EF66CC">
        <w:rPr>
          <w:rFonts w:ascii="Times New Roman" w:hAnsi="Times New Roman" w:cs="Times New Roman"/>
          <w:sz w:val="24"/>
          <w:szCs w:val="24"/>
          <w:lang w:val="sk-SK"/>
        </w:rPr>
        <w:t>,</w:t>
      </w:r>
      <w:r w:rsidR="00D77CAB">
        <w:rPr>
          <w:rFonts w:ascii="Times New Roman" w:hAnsi="Times New Roman" w:cs="Times New Roman"/>
          <w:sz w:val="24"/>
          <w:szCs w:val="24"/>
          <w:lang w:val="sk-SK"/>
        </w:rPr>
        <w:t xml:space="preserve"> to jest osôb ktoré dochádzajú za prácou do iného členského štátu</w:t>
      </w:r>
      <w:r w:rsidR="005A3559">
        <w:rPr>
          <w:rFonts w:ascii="Times New Roman" w:hAnsi="Times New Roman" w:cs="Times New Roman"/>
          <w:sz w:val="24"/>
          <w:szCs w:val="24"/>
          <w:lang w:val="sk-SK"/>
        </w:rPr>
        <w:t>,</w:t>
      </w:r>
      <w:r w:rsidR="00D77CAB">
        <w:rPr>
          <w:rFonts w:ascii="Times New Roman" w:hAnsi="Times New Roman" w:cs="Times New Roman"/>
          <w:sz w:val="24"/>
          <w:szCs w:val="24"/>
          <w:lang w:val="sk-SK"/>
        </w:rPr>
        <w:t xml:space="preserve"> než v ktorom žijú. K ustáleniu rozhodovacej praxe slovenských súdov v týchto veciach môže pomôcť najmä kontinuálne vzdelávanie sudcov, ale napríklad i príklady dobrej praxe to jest </w:t>
      </w:r>
      <w:r w:rsidR="00EF66CC">
        <w:rPr>
          <w:rFonts w:ascii="Times New Roman" w:hAnsi="Times New Roman" w:cs="Times New Roman"/>
          <w:sz w:val="24"/>
          <w:szCs w:val="24"/>
          <w:lang w:val="sk-SK"/>
        </w:rPr>
        <w:t>rozsudky súdov vyšších stupňov (krajských súdov, Najvyššieho súdu SR) ktoré budú vhodným spôsobom publikované</w:t>
      </w:r>
      <w:r w:rsidR="00EF66CC">
        <w:rPr>
          <w:rStyle w:val="Odkaznapoznmkupodiarou"/>
          <w:rFonts w:ascii="Times New Roman" w:hAnsi="Times New Roman" w:cs="Times New Roman"/>
          <w:sz w:val="24"/>
          <w:szCs w:val="24"/>
          <w:lang w:val="sk-SK"/>
        </w:rPr>
        <w:footnoteReference w:id="9"/>
      </w:r>
      <w:r w:rsidR="00EF66CC">
        <w:rPr>
          <w:rFonts w:ascii="Times New Roman" w:hAnsi="Times New Roman" w:cs="Times New Roman"/>
          <w:sz w:val="24"/>
          <w:szCs w:val="24"/>
          <w:lang w:val="sk-SK"/>
        </w:rPr>
        <w:t xml:space="preserve"> alebo inak sprístupnené verejnosti. </w:t>
      </w:r>
    </w:p>
    <w:p w14:paraId="619CBC35" w14:textId="26AD72FA" w:rsidR="006B6219" w:rsidRPr="00764FAA" w:rsidRDefault="009C0648" w:rsidP="006B6219">
      <w:pPr>
        <w:jc w:val="both"/>
        <w:rPr>
          <w:rFonts w:ascii="Times New Roman" w:hAnsi="Times New Roman" w:cs="Times New Roman"/>
          <w:sz w:val="24"/>
          <w:szCs w:val="24"/>
          <w:lang w:val="sk-SK"/>
        </w:rPr>
      </w:pPr>
      <w:r>
        <w:rPr>
          <w:rFonts w:ascii="Times New Roman" w:hAnsi="Times New Roman" w:cs="Times New Roman"/>
          <w:sz w:val="24"/>
          <w:szCs w:val="24"/>
          <w:lang w:val="sk-SK"/>
        </w:rPr>
        <w:t>Uznesenie Najvyššieho súdu SR z 5. mája 2016 zase naznačuje aké problémy môžu vznikať pri simultánne prebiehajúcom hlavnom a vedľajšom konkurznom konaní, problémy ktoré sa dajú účinne riešiť len aktívnou komunikáciou medzi správcami a súdmi (viď čl.</w:t>
      </w:r>
      <w:r w:rsidR="00D77CAB">
        <w:rPr>
          <w:rFonts w:ascii="Times New Roman" w:hAnsi="Times New Roman" w:cs="Times New Roman"/>
          <w:sz w:val="24"/>
          <w:szCs w:val="24"/>
          <w:lang w:val="sk-SK"/>
        </w:rPr>
        <w:t xml:space="preserve"> 41 až</w:t>
      </w:r>
      <w:r>
        <w:rPr>
          <w:rFonts w:ascii="Times New Roman" w:hAnsi="Times New Roman" w:cs="Times New Roman"/>
          <w:sz w:val="24"/>
          <w:szCs w:val="24"/>
          <w:lang w:val="sk-SK"/>
        </w:rPr>
        <w:t xml:space="preserve"> 43 </w:t>
      </w:r>
      <w:r w:rsidRPr="00764FAA">
        <w:rPr>
          <w:rFonts w:ascii="Times New Roman" w:hAnsi="Times New Roman" w:cs="Times New Roman"/>
          <w:sz w:val="24"/>
          <w:szCs w:val="24"/>
          <w:lang w:val="sk-SK"/>
        </w:rPr>
        <w:t>Nariadenia 2015/848)</w:t>
      </w:r>
      <w:r w:rsidR="00D77CAB" w:rsidRPr="00764FAA">
        <w:rPr>
          <w:rFonts w:ascii="Times New Roman" w:hAnsi="Times New Roman" w:cs="Times New Roman"/>
          <w:sz w:val="24"/>
          <w:szCs w:val="24"/>
          <w:lang w:val="sk-SK"/>
        </w:rPr>
        <w:t xml:space="preserve">. </w:t>
      </w:r>
      <w:r w:rsidR="00764FAA" w:rsidRPr="00764FAA">
        <w:rPr>
          <w:rFonts w:ascii="Times New Roman" w:hAnsi="Times New Roman" w:cs="Times New Roman"/>
          <w:sz w:val="24"/>
          <w:szCs w:val="24"/>
          <w:lang w:val="sk-SK"/>
        </w:rPr>
        <w:t>M</w:t>
      </w:r>
      <w:r w:rsidR="00D77CAB" w:rsidRPr="00764FAA">
        <w:rPr>
          <w:rFonts w:ascii="Times New Roman" w:hAnsi="Times New Roman" w:cs="Times New Roman"/>
          <w:sz w:val="24"/>
          <w:szCs w:val="24"/>
          <w:lang w:val="sk-SK"/>
        </w:rPr>
        <w:t xml:space="preserve">ožno </w:t>
      </w:r>
      <w:r w:rsidR="00764FAA" w:rsidRPr="00764FAA">
        <w:rPr>
          <w:rFonts w:ascii="Times New Roman" w:hAnsi="Times New Roman" w:cs="Times New Roman"/>
          <w:sz w:val="24"/>
          <w:szCs w:val="24"/>
          <w:lang w:val="sk-SK"/>
        </w:rPr>
        <w:t>by bolo vhodné</w:t>
      </w:r>
      <w:r w:rsidR="00D77CAB" w:rsidRPr="00764FAA">
        <w:rPr>
          <w:rFonts w:ascii="Times New Roman" w:hAnsi="Times New Roman" w:cs="Times New Roman"/>
          <w:sz w:val="24"/>
          <w:szCs w:val="24"/>
          <w:lang w:val="sk-SK"/>
        </w:rPr>
        <w:t xml:space="preserve"> zaviesť určitý automatizovaný postup pre začatie komunikácie </w:t>
      </w:r>
      <w:r w:rsidR="00764FAA" w:rsidRPr="00764FAA">
        <w:rPr>
          <w:rFonts w:ascii="Times New Roman" w:hAnsi="Times New Roman" w:cs="Times New Roman"/>
          <w:sz w:val="24"/>
          <w:szCs w:val="24"/>
          <w:lang w:val="sk-SK"/>
        </w:rPr>
        <w:t xml:space="preserve">medzi správcami konkurznej podstaty v okamihu začatia vedľajšieho konkurzného konania, alebo začatia hlavného konkurzného konania nasledujúceho po vyhlásenom územnom konkurznom konaní. </w:t>
      </w:r>
      <w:r w:rsidR="00D77CAB" w:rsidRPr="00764FAA">
        <w:rPr>
          <w:rFonts w:ascii="Times New Roman" w:hAnsi="Times New Roman" w:cs="Times New Roman"/>
          <w:sz w:val="24"/>
          <w:szCs w:val="24"/>
          <w:lang w:val="sk-SK"/>
        </w:rPr>
        <w:t xml:space="preserve"> </w:t>
      </w:r>
      <w:r w:rsidRPr="00764FAA">
        <w:rPr>
          <w:rFonts w:ascii="Times New Roman" w:hAnsi="Times New Roman" w:cs="Times New Roman"/>
          <w:sz w:val="24"/>
          <w:szCs w:val="24"/>
          <w:lang w:val="sk-SK"/>
        </w:rPr>
        <w:t xml:space="preserve">  </w:t>
      </w:r>
      <w:r w:rsidR="006B6219" w:rsidRPr="00764FAA">
        <w:rPr>
          <w:rFonts w:ascii="Times New Roman" w:hAnsi="Times New Roman" w:cs="Times New Roman"/>
          <w:sz w:val="24"/>
          <w:szCs w:val="24"/>
          <w:lang w:val="sk-SK"/>
        </w:rPr>
        <w:t xml:space="preserve"> </w:t>
      </w:r>
    </w:p>
    <w:p w14:paraId="3C926BC1" w14:textId="4FC838DE" w:rsidR="00900521" w:rsidRPr="00596F8B" w:rsidRDefault="00900521" w:rsidP="00596F8B">
      <w:pPr>
        <w:spacing w:after="0" w:line="240" w:lineRule="auto"/>
        <w:jc w:val="both"/>
        <w:rPr>
          <w:rFonts w:ascii="Times New Roman" w:hAnsi="Times New Roman" w:cs="Times New Roman"/>
          <w:sz w:val="24"/>
          <w:szCs w:val="24"/>
          <w:lang w:val="sk-SK"/>
        </w:rPr>
      </w:pPr>
    </w:p>
    <w:p w14:paraId="583CB283" w14:textId="77777777" w:rsidR="00900521" w:rsidRPr="00646610" w:rsidRDefault="00900521" w:rsidP="00C93701">
      <w:pPr>
        <w:pStyle w:val="Odsekzoznamu"/>
        <w:spacing w:after="0" w:line="240" w:lineRule="auto"/>
        <w:contextualSpacing w:val="0"/>
        <w:jc w:val="both"/>
        <w:rPr>
          <w:rFonts w:ascii="Times New Roman" w:hAnsi="Times New Roman" w:cs="Times New Roman"/>
          <w:sz w:val="24"/>
          <w:szCs w:val="24"/>
          <w:lang w:val="sk-SK"/>
        </w:rPr>
      </w:pPr>
    </w:p>
    <w:sectPr w:rsidR="00900521" w:rsidRPr="00646610" w:rsidSect="00845B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5A7B" w14:textId="77777777" w:rsidR="009809DD" w:rsidRDefault="009809DD" w:rsidP="00370D4D">
      <w:pPr>
        <w:spacing w:after="0" w:line="240" w:lineRule="auto"/>
      </w:pPr>
      <w:r>
        <w:separator/>
      </w:r>
    </w:p>
  </w:endnote>
  <w:endnote w:type="continuationSeparator" w:id="0">
    <w:p w14:paraId="4716C1B8" w14:textId="77777777" w:rsidR="009809DD" w:rsidRDefault="009809DD" w:rsidP="0037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25106246"/>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14:paraId="341E72C9" w14:textId="38DF9D3F" w:rsidR="00ED0883" w:rsidRPr="005129BB" w:rsidRDefault="00ED0883">
            <w:pPr>
              <w:pStyle w:val="Pta"/>
              <w:jc w:val="right"/>
              <w:rPr>
                <w:rFonts w:ascii="Times New Roman" w:hAnsi="Times New Roman" w:cs="Times New Roman"/>
                <w:sz w:val="24"/>
                <w:szCs w:val="24"/>
              </w:rPr>
            </w:pPr>
            <w:r w:rsidRPr="005129BB">
              <w:rPr>
                <w:rFonts w:ascii="Times New Roman" w:hAnsi="Times New Roman" w:cs="Times New Roman"/>
                <w:sz w:val="24"/>
                <w:szCs w:val="24"/>
              </w:rPr>
              <w:t xml:space="preserve">Page </w:t>
            </w:r>
            <w:r w:rsidRPr="005129BB">
              <w:rPr>
                <w:rFonts w:ascii="Times New Roman" w:hAnsi="Times New Roman" w:cs="Times New Roman"/>
                <w:b/>
                <w:bCs/>
                <w:sz w:val="24"/>
                <w:szCs w:val="24"/>
              </w:rPr>
              <w:fldChar w:fldCharType="begin"/>
            </w:r>
            <w:r w:rsidRPr="005129BB">
              <w:rPr>
                <w:rFonts w:ascii="Times New Roman" w:hAnsi="Times New Roman" w:cs="Times New Roman"/>
                <w:b/>
                <w:bCs/>
                <w:sz w:val="24"/>
                <w:szCs w:val="24"/>
              </w:rPr>
              <w:instrText xml:space="preserve"> PAGE </w:instrText>
            </w:r>
            <w:r w:rsidRPr="005129BB">
              <w:rPr>
                <w:rFonts w:ascii="Times New Roman" w:hAnsi="Times New Roman" w:cs="Times New Roman"/>
                <w:b/>
                <w:bCs/>
                <w:sz w:val="24"/>
                <w:szCs w:val="24"/>
              </w:rPr>
              <w:fldChar w:fldCharType="separate"/>
            </w:r>
            <w:r w:rsidR="00024862">
              <w:rPr>
                <w:rFonts w:ascii="Times New Roman" w:hAnsi="Times New Roman" w:cs="Times New Roman"/>
                <w:b/>
                <w:bCs/>
                <w:noProof/>
                <w:sz w:val="24"/>
                <w:szCs w:val="24"/>
              </w:rPr>
              <w:t>1</w:t>
            </w:r>
            <w:r w:rsidRPr="005129BB">
              <w:rPr>
                <w:rFonts w:ascii="Times New Roman" w:hAnsi="Times New Roman" w:cs="Times New Roman"/>
                <w:b/>
                <w:bCs/>
                <w:sz w:val="24"/>
                <w:szCs w:val="24"/>
              </w:rPr>
              <w:fldChar w:fldCharType="end"/>
            </w:r>
            <w:r w:rsidRPr="005129BB">
              <w:rPr>
                <w:rFonts w:ascii="Times New Roman" w:hAnsi="Times New Roman" w:cs="Times New Roman"/>
                <w:sz w:val="24"/>
                <w:szCs w:val="24"/>
              </w:rPr>
              <w:t xml:space="preserve"> of </w:t>
            </w:r>
            <w:r w:rsidRPr="005129BB">
              <w:rPr>
                <w:rFonts w:ascii="Times New Roman" w:hAnsi="Times New Roman" w:cs="Times New Roman"/>
                <w:b/>
                <w:bCs/>
                <w:sz w:val="24"/>
                <w:szCs w:val="24"/>
              </w:rPr>
              <w:fldChar w:fldCharType="begin"/>
            </w:r>
            <w:r w:rsidRPr="005129BB">
              <w:rPr>
                <w:rFonts w:ascii="Times New Roman" w:hAnsi="Times New Roman" w:cs="Times New Roman"/>
                <w:b/>
                <w:bCs/>
                <w:sz w:val="24"/>
                <w:szCs w:val="24"/>
              </w:rPr>
              <w:instrText xml:space="preserve"> NUMPAGES  </w:instrText>
            </w:r>
            <w:r w:rsidRPr="005129BB">
              <w:rPr>
                <w:rFonts w:ascii="Times New Roman" w:hAnsi="Times New Roman" w:cs="Times New Roman"/>
                <w:b/>
                <w:bCs/>
                <w:sz w:val="24"/>
                <w:szCs w:val="24"/>
              </w:rPr>
              <w:fldChar w:fldCharType="separate"/>
            </w:r>
            <w:r w:rsidR="00024862">
              <w:rPr>
                <w:rFonts w:ascii="Times New Roman" w:hAnsi="Times New Roman" w:cs="Times New Roman"/>
                <w:b/>
                <w:bCs/>
                <w:noProof/>
                <w:sz w:val="24"/>
                <w:szCs w:val="24"/>
              </w:rPr>
              <w:t>6</w:t>
            </w:r>
            <w:r w:rsidRPr="005129BB">
              <w:rPr>
                <w:rFonts w:ascii="Times New Roman" w:hAnsi="Times New Roman" w:cs="Times New Roman"/>
                <w:b/>
                <w:bCs/>
                <w:sz w:val="24"/>
                <w:szCs w:val="24"/>
              </w:rPr>
              <w:fldChar w:fldCharType="end"/>
            </w:r>
          </w:p>
        </w:sdtContent>
      </w:sdt>
    </w:sdtContent>
  </w:sdt>
  <w:p w14:paraId="0F2659A5" w14:textId="77777777" w:rsidR="00ED0883" w:rsidRPr="005129BB" w:rsidRDefault="00ED0883">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DE5F" w14:textId="77777777" w:rsidR="009809DD" w:rsidRDefault="009809DD" w:rsidP="00370D4D">
      <w:pPr>
        <w:spacing w:after="0" w:line="240" w:lineRule="auto"/>
      </w:pPr>
      <w:r>
        <w:separator/>
      </w:r>
    </w:p>
  </w:footnote>
  <w:footnote w:type="continuationSeparator" w:id="0">
    <w:p w14:paraId="553A6CAD" w14:textId="77777777" w:rsidR="009809DD" w:rsidRDefault="009809DD" w:rsidP="00370D4D">
      <w:pPr>
        <w:spacing w:after="0" w:line="240" w:lineRule="auto"/>
      </w:pPr>
      <w:r>
        <w:continuationSeparator/>
      </w:r>
    </w:p>
  </w:footnote>
  <w:footnote w:id="1">
    <w:p w14:paraId="33E3319F" w14:textId="0F14DC38" w:rsidR="007F77ED" w:rsidRPr="00313353" w:rsidRDefault="007F77ED" w:rsidP="007F77ED">
      <w:pPr>
        <w:pStyle w:val="Textpoznmkypodiarou"/>
        <w:rPr>
          <w:lang w:val="sk-SK"/>
        </w:rPr>
      </w:pPr>
      <w:r>
        <w:rPr>
          <w:rStyle w:val="Odkaznapoznmkupodiarou"/>
        </w:rPr>
        <w:footnoteRef/>
      </w:r>
      <w:r>
        <w:t xml:space="preserve"> </w:t>
      </w:r>
      <w:r>
        <w:rPr>
          <w:lang w:val="sk-SK"/>
        </w:rPr>
        <w:t xml:space="preserve">Verejne dostupné databázy napríklad poskytli 25 rozsudkov, z toho 16 rozsudkov k „starému“ Nariadeniu č. 1346/2000 a 9 k revidovanému Nariadeniu (EÚ) 2015/848. </w:t>
      </w:r>
    </w:p>
  </w:footnote>
  <w:footnote w:id="2">
    <w:p w14:paraId="729768E5" w14:textId="046B13DC" w:rsidR="00114300" w:rsidRPr="00114300" w:rsidRDefault="00114300">
      <w:pPr>
        <w:pStyle w:val="Textpoznmkypodiarou"/>
        <w:rPr>
          <w:lang w:val="sk-SK"/>
        </w:rPr>
      </w:pPr>
      <w:r>
        <w:rPr>
          <w:rStyle w:val="Odkaznapoznmkupodiarou"/>
        </w:rPr>
        <w:footnoteRef/>
      </w:r>
      <w:r w:rsidRPr="00114300">
        <w:rPr>
          <w:lang w:val="sk-SK"/>
        </w:rPr>
        <w:t xml:space="preserve"> </w:t>
      </w:r>
      <w:r w:rsidRPr="00114300">
        <w:rPr>
          <w:lang w:val="sk-SK"/>
        </w:rPr>
        <w:t xml:space="preserve">Konanie pred prvostupňovým súdom sa začalo pred dátumom </w:t>
      </w:r>
      <w:r w:rsidR="005F5884">
        <w:rPr>
          <w:lang w:val="sk-SK"/>
        </w:rPr>
        <w:t xml:space="preserve">stanoveným v článku 84 Nariadenia č. 2015/848 (26. jún 2017), súd teda správne postupoval podľa Nariadenia č. 1346/2000. </w:t>
      </w:r>
    </w:p>
  </w:footnote>
  <w:footnote w:id="3">
    <w:p w14:paraId="1A4DDB9A" w14:textId="2F1C79FE" w:rsidR="00670D95" w:rsidRPr="00670D95" w:rsidRDefault="00670D95">
      <w:pPr>
        <w:pStyle w:val="Textpoznmkypodiarou"/>
        <w:rPr>
          <w:lang w:val="sk-SK"/>
        </w:rPr>
      </w:pPr>
      <w:r>
        <w:rPr>
          <w:rStyle w:val="Odkaznapoznmkupodiarou"/>
        </w:rPr>
        <w:footnoteRef/>
      </w:r>
      <w:r w:rsidRPr="002A3F84">
        <w:rPr>
          <w:lang w:val="de-AT"/>
        </w:rPr>
        <w:t xml:space="preserve"> </w:t>
      </w:r>
      <w:r>
        <w:rPr>
          <w:lang w:val="sk-SK"/>
        </w:rPr>
        <w:t xml:space="preserve">Zákon č. </w:t>
      </w:r>
      <w:r w:rsidR="0091302B">
        <w:rPr>
          <w:lang w:val="sk-SK"/>
        </w:rPr>
        <w:t xml:space="preserve">7/2005 </w:t>
      </w:r>
      <w:proofErr w:type="spellStart"/>
      <w:r w:rsidR="0091302B">
        <w:rPr>
          <w:lang w:val="sk-SK"/>
        </w:rPr>
        <w:t>Z.z</w:t>
      </w:r>
      <w:proofErr w:type="spellEnd"/>
      <w:r w:rsidR="0091302B">
        <w:rPr>
          <w:lang w:val="sk-SK"/>
        </w:rPr>
        <w:t xml:space="preserve">. o konkurze a reštrukturalizácii. </w:t>
      </w:r>
    </w:p>
  </w:footnote>
  <w:footnote w:id="4">
    <w:p w14:paraId="0AAC915A" w14:textId="77777777" w:rsidR="0042634D" w:rsidRPr="000166A7" w:rsidRDefault="0042634D" w:rsidP="0042634D">
      <w:pPr>
        <w:pStyle w:val="Textpoznmkypodiarou"/>
        <w:rPr>
          <w:lang w:val="sk-SK"/>
        </w:rPr>
      </w:pPr>
      <w:r>
        <w:rPr>
          <w:rStyle w:val="Odkaznapoznmkupodiarou"/>
        </w:rPr>
        <w:footnoteRef/>
      </w:r>
      <w:r w:rsidRPr="00313353">
        <w:rPr>
          <w:lang w:val="sk-SK"/>
        </w:rPr>
        <w:t xml:space="preserve"> </w:t>
      </w:r>
      <w:r>
        <w:rPr>
          <w:lang w:val="sk-SK"/>
        </w:rPr>
        <w:t xml:space="preserve">Zbierka je vydávaná už len elektronicky, je voľne dostupné na webových stránkach Najvyššieho súdu Slovenskej republiky: </w:t>
      </w:r>
      <w:hyperlink r:id="rId1" w:history="1">
        <w:r w:rsidRPr="00080F00">
          <w:rPr>
            <w:rStyle w:val="Hypertextovprepojenie"/>
            <w:lang w:val="sk-SK"/>
          </w:rPr>
          <w:t>https://www.nsud.sk/zbierka-stanovisk-a-rozhodnuti/</w:t>
        </w:r>
      </w:hyperlink>
      <w:r>
        <w:rPr>
          <w:lang w:val="sk-SK"/>
        </w:rPr>
        <w:t xml:space="preserve"> </w:t>
      </w:r>
    </w:p>
  </w:footnote>
  <w:footnote w:id="5">
    <w:p w14:paraId="3451728D" w14:textId="77777777" w:rsidR="007F77ED" w:rsidRPr="00F261A8" w:rsidRDefault="007F77ED" w:rsidP="007F77ED">
      <w:pPr>
        <w:pStyle w:val="Textpoznmkypodiarou"/>
        <w:rPr>
          <w:lang w:val="sk-SK"/>
        </w:rPr>
      </w:pPr>
      <w:r>
        <w:rPr>
          <w:rStyle w:val="Odkaznapoznmkupodiarou"/>
        </w:rPr>
        <w:footnoteRef/>
      </w:r>
      <w:r w:rsidRPr="00313353">
        <w:rPr>
          <w:lang w:val="de-AT"/>
        </w:rPr>
        <w:t xml:space="preserve"> </w:t>
      </w:r>
      <w:proofErr w:type="spellStart"/>
      <w:r w:rsidRPr="00313353">
        <w:rPr>
          <w:lang w:val="de-AT"/>
        </w:rPr>
        <w:t>Zákon</w:t>
      </w:r>
      <w:proofErr w:type="spellEnd"/>
      <w:r w:rsidRPr="00313353">
        <w:rPr>
          <w:lang w:val="de-AT"/>
        </w:rPr>
        <w:t xml:space="preserve"> č. 7/2005 </w:t>
      </w:r>
      <w:proofErr w:type="spellStart"/>
      <w:r w:rsidRPr="00313353">
        <w:rPr>
          <w:lang w:val="de-AT"/>
        </w:rPr>
        <w:t>Z.z.</w:t>
      </w:r>
      <w:proofErr w:type="spellEnd"/>
      <w:r w:rsidRPr="00313353">
        <w:rPr>
          <w:lang w:val="de-AT"/>
        </w:rPr>
        <w:t xml:space="preserve"> o </w:t>
      </w:r>
      <w:proofErr w:type="spellStart"/>
      <w:r w:rsidRPr="00313353">
        <w:rPr>
          <w:lang w:val="de-AT"/>
        </w:rPr>
        <w:t>konkurze</w:t>
      </w:r>
      <w:proofErr w:type="spellEnd"/>
      <w:r w:rsidRPr="00313353">
        <w:rPr>
          <w:lang w:val="de-AT"/>
        </w:rPr>
        <w:t xml:space="preserve"> a </w:t>
      </w:r>
      <w:proofErr w:type="spellStart"/>
      <w:r w:rsidRPr="00313353">
        <w:rPr>
          <w:lang w:val="de-AT"/>
        </w:rPr>
        <w:t>reštrukturalizácii</w:t>
      </w:r>
      <w:proofErr w:type="spellEnd"/>
      <w:r w:rsidRPr="00313353">
        <w:rPr>
          <w:lang w:val="de-AT"/>
        </w:rPr>
        <w:t>, p</w:t>
      </w:r>
      <w:r>
        <w:rPr>
          <w:lang w:val="sk-SK"/>
        </w:rPr>
        <w:t xml:space="preserve">ara. </w:t>
      </w:r>
      <w:r>
        <w:rPr>
          <w:lang w:val="sk-SK"/>
        </w:rPr>
        <w:t>76.</w:t>
      </w:r>
    </w:p>
  </w:footnote>
  <w:footnote w:id="6">
    <w:p w14:paraId="5BB2C74D" w14:textId="340349FA" w:rsidR="00F00C85" w:rsidRPr="00F00C85" w:rsidRDefault="00F00C85">
      <w:pPr>
        <w:pStyle w:val="Textpoznmkypodiarou"/>
        <w:rPr>
          <w:lang w:val="sk-SK"/>
        </w:rPr>
      </w:pPr>
      <w:r>
        <w:rPr>
          <w:rStyle w:val="Odkaznapoznmkupodiarou"/>
        </w:rPr>
        <w:footnoteRef/>
      </w:r>
      <w:r w:rsidRPr="00F00C85">
        <w:rPr>
          <w:lang w:val="sk-SK"/>
        </w:rPr>
        <w:t xml:space="preserve"> </w:t>
      </w:r>
      <w:r>
        <w:rPr>
          <w:lang w:val="sk-SK"/>
        </w:rPr>
        <w:t>Prevzaté v článku 20 ods. 2 Nariadenia č. 2015/848.</w:t>
      </w:r>
    </w:p>
  </w:footnote>
  <w:footnote w:id="7">
    <w:p w14:paraId="4C062914" w14:textId="67071B03" w:rsidR="001A60B9" w:rsidRPr="001A60B9" w:rsidRDefault="001A60B9">
      <w:pPr>
        <w:pStyle w:val="Textpoznmkypodiarou"/>
        <w:rPr>
          <w:lang w:val="sk-SK"/>
        </w:rPr>
      </w:pPr>
      <w:r>
        <w:rPr>
          <w:rStyle w:val="Odkaznapoznmkupodiarou"/>
        </w:rPr>
        <w:footnoteRef/>
      </w:r>
      <w:r w:rsidRPr="001A60B9">
        <w:rPr>
          <w:lang w:val="sk-SK"/>
        </w:rPr>
        <w:t xml:space="preserve"> </w:t>
      </w:r>
      <w:r>
        <w:rPr>
          <w:lang w:val="sk-SK"/>
        </w:rPr>
        <w:t>Súd formuloval túto „</w:t>
      </w:r>
      <w:proofErr w:type="spellStart"/>
      <w:r>
        <w:rPr>
          <w:lang w:val="sk-SK"/>
        </w:rPr>
        <w:t>nezistiteľnosť</w:t>
      </w:r>
      <w:proofErr w:type="spellEnd"/>
      <w:r>
        <w:rPr>
          <w:lang w:val="sk-SK"/>
        </w:rPr>
        <w:t>“ ako objektívn</w:t>
      </w:r>
      <w:r w:rsidR="00056565">
        <w:rPr>
          <w:lang w:val="sk-SK"/>
        </w:rPr>
        <w:t>e existujúcu</w:t>
      </w:r>
      <w:r>
        <w:rPr>
          <w:lang w:val="sk-SK"/>
        </w:rPr>
        <w:t xml:space="preserve"> </w:t>
      </w:r>
      <w:proofErr w:type="spellStart"/>
      <w:r>
        <w:rPr>
          <w:lang w:val="sk-SK"/>
        </w:rPr>
        <w:t>nezistiteľnosť</w:t>
      </w:r>
      <w:proofErr w:type="spellEnd"/>
      <w:r>
        <w:rPr>
          <w:lang w:val="sk-SK"/>
        </w:rPr>
        <w:t xml:space="preserve">, </w:t>
      </w:r>
      <w:r w:rsidR="00056565">
        <w:rPr>
          <w:lang w:val="sk-SK"/>
        </w:rPr>
        <w:t>založenú na fakte že</w:t>
      </w:r>
      <w:r>
        <w:rPr>
          <w:lang w:val="sk-SK"/>
        </w:rPr>
        <w:t xml:space="preserve"> trvalý pobyt hlásený dlžníkom nezodpovedá jeho obvyklému pobytu (bod 6.1 rozsudku Krajského súdu v BA z 28.8.2019)</w:t>
      </w:r>
    </w:p>
  </w:footnote>
  <w:footnote w:id="8">
    <w:p w14:paraId="74BA9E6C" w14:textId="4B4193B0" w:rsidR="00E71026" w:rsidRPr="00E71026" w:rsidRDefault="00E71026">
      <w:pPr>
        <w:pStyle w:val="Textpoznmkypodiarou"/>
        <w:rPr>
          <w:lang w:val="sk-SK"/>
        </w:rPr>
      </w:pPr>
      <w:r>
        <w:rPr>
          <w:rStyle w:val="Odkaznapoznmkupodiarou"/>
        </w:rPr>
        <w:footnoteRef/>
      </w:r>
      <w:r w:rsidRPr="00E71026">
        <w:rPr>
          <w:lang w:val="sk-SK"/>
        </w:rPr>
        <w:t xml:space="preserve"> </w:t>
      </w:r>
      <w:r>
        <w:rPr>
          <w:lang w:val="sk-SK"/>
        </w:rPr>
        <w:t xml:space="preserve">Krajský súd citoval v uznesení odôvodnenia čl. 2, 5 a 6 Nariadenia, ďalšie odôvodnenia už neuvádza. </w:t>
      </w:r>
    </w:p>
  </w:footnote>
  <w:footnote w:id="9">
    <w:p w14:paraId="10AB682D" w14:textId="60CF87B1" w:rsidR="00EF66CC" w:rsidRPr="00EF66CC" w:rsidRDefault="00EF66CC">
      <w:pPr>
        <w:pStyle w:val="Textpoznmkypodiarou"/>
        <w:rPr>
          <w:lang w:val="sk-SK"/>
        </w:rPr>
      </w:pPr>
      <w:r>
        <w:rPr>
          <w:rStyle w:val="Odkaznapoznmkupodiarou"/>
        </w:rPr>
        <w:footnoteRef/>
      </w:r>
      <w:r>
        <w:t xml:space="preserve"> </w:t>
      </w:r>
      <w:r>
        <w:rPr>
          <w:lang w:val="sk-SK"/>
        </w:rPr>
        <w:t>Napríklad v </w:t>
      </w:r>
      <w:r w:rsidRPr="00EF66CC">
        <w:rPr>
          <w:i/>
          <w:lang w:val="sk-SK"/>
        </w:rPr>
        <w:t>Zbierke stanovísk a rozhodnutí súdov</w:t>
      </w:r>
      <w:r>
        <w:rPr>
          <w:lang w:val="sk-SK"/>
        </w:rPr>
        <w:t xml:space="preserve"> vydávanej Najvyšším súdom SR: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CEC8" w14:textId="61F31246" w:rsidR="00A902FE" w:rsidRPr="00B04DD3" w:rsidRDefault="00A902FE" w:rsidP="00A902FE">
    <w:pPr>
      <w:pStyle w:val="Hlavika"/>
      <w:rPr>
        <w:color w:val="4F81BD" w:themeColor="accent1"/>
        <w:lang w:val="en-US"/>
      </w:rPr>
    </w:pPr>
    <w:r w:rsidRPr="003F5D01">
      <w:rPr>
        <w:noProof/>
        <w:sz w:val="20"/>
        <w:szCs w:val="20"/>
        <w:lang w:val="sk-SK" w:eastAsia="sk-SK"/>
      </w:rPr>
      <w:drawing>
        <wp:anchor distT="0" distB="0" distL="114300" distR="114300" simplePos="0" relativeHeight="251661312" behindDoc="1" locked="0" layoutInCell="1" allowOverlap="1" wp14:anchorId="6A493ED9" wp14:editId="16FCFAB4">
          <wp:simplePos x="0" y="0"/>
          <wp:positionH relativeFrom="leftMargin">
            <wp:align>right</wp:align>
          </wp:positionH>
          <wp:positionV relativeFrom="paragraph">
            <wp:posOffset>-182880</wp:posOffset>
          </wp:positionV>
          <wp:extent cx="701675" cy="471170"/>
          <wp:effectExtent l="0" t="0" r="3175" b="5080"/>
          <wp:wrapTight wrapText="bothSides">
            <wp:wrapPolygon edited="0">
              <wp:start x="0" y="0"/>
              <wp:lineTo x="0" y="20960"/>
              <wp:lineTo x="21111" y="20960"/>
              <wp:lineTo x="21111" y="0"/>
              <wp:lineTo x="0" y="0"/>
            </wp:wrapPolygon>
          </wp:wrapTight>
          <wp:docPr id="1" name="Obraz 1" descr="Opis: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471170"/>
                  </a:xfrm>
                  <a:prstGeom prst="rect">
                    <a:avLst/>
                  </a:prstGeom>
                  <a:noFill/>
                </pic:spPr>
              </pic:pic>
            </a:graphicData>
          </a:graphic>
          <wp14:sizeRelH relativeFrom="margin">
            <wp14:pctWidth>0</wp14:pctWidth>
          </wp14:sizeRelH>
          <wp14:sizeRelV relativeFrom="margin">
            <wp14:pctHeight>0</wp14:pctHeight>
          </wp14:sizeRelV>
        </wp:anchor>
      </w:drawing>
    </w:r>
    <w:r w:rsidRPr="00B04DD3">
      <w:rPr>
        <w:noProof/>
        <w:color w:val="4F81BD" w:themeColor="accent1"/>
        <w:lang w:val="sk-SK" w:eastAsia="sk-SK"/>
      </w:rPr>
      <w:drawing>
        <wp:anchor distT="0" distB="0" distL="114300" distR="114300" simplePos="0" relativeHeight="251660288" behindDoc="1" locked="0" layoutInCell="1" allowOverlap="1" wp14:anchorId="022A8623" wp14:editId="3468AFC7">
          <wp:simplePos x="0" y="0"/>
          <wp:positionH relativeFrom="margin">
            <wp:align>right</wp:align>
          </wp:positionH>
          <wp:positionV relativeFrom="paragraph">
            <wp:posOffset>-306493</wp:posOffset>
          </wp:positionV>
          <wp:extent cx="1058400" cy="684000"/>
          <wp:effectExtent l="0" t="0" r="8890" b="190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raft.png"/>
                  <pic:cNvPicPr/>
                </pic:nvPicPr>
                <pic:blipFill>
                  <a:blip r:embed="rId2">
                    <a:extLst>
                      <a:ext uri="{28A0092B-C50C-407E-A947-70E740481C1C}">
                        <a14:useLocalDpi xmlns:a14="http://schemas.microsoft.com/office/drawing/2010/main" val="0"/>
                      </a:ext>
                    </a:extLst>
                  </a:blip>
                  <a:stretch>
                    <a:fillRect/>
                  </a:stretch>
                </pic:blipFill>
                <pic:spPr>
                  <a:xfrm>
                    <a:off x="0" y="0"/>
                    <a:ext cx="1058400" cy="684000"/>
                  </a:xfrm>
                  <a:prstGeom prst="rect">
                    <a:avLst/>
                  </a:prstGeom>
                </pic:spPr>
              </pic:pic>
            </a:graphicData>
          </a:graphic>
          <wp14:sizeRelH relativeFrom="margin">
            <wp14:pctWidth>0</wp14:pctWidth>
          </wp14:sizeRelH>
          <wp14:sizeRelV relativeFrom="margin">
            <wp14:pctHeight>0</wp14:pctHeight>
          </wp14:sizeRelV>
        </wp:anchor>
      </w:drawing>
    </w:r>
    <w:r w:rsidRPr="00B04DD3">
      <w:rPr>
        <w:color w:val="4F81BD" w:themeColor="accent1"/>
        <w:lang w:val="en-US"/>
      </w:rPr>
      <w:t>Project: 80078</w:t>
    </w:r>
    <w:r>
      <w:rPr>
        <w:color w:val="4F81BD" w:themeColor="accent1"/>
        <w:lang w:val="en-US"/>
      </w:rPr>
      <w:t>9</w:t>
    </w:r>
    <w:r w:rsidRPr="00B04DD3">
      <w:rPr>
        <w:color w:val="4F81BD" w:themeColor="accent1"/>
        <w:lang w:val="en-US"/>
      </w:rPr>
      <w:t>—CEPIL—JUST-JCOO-AG-2017</w:t>
    </w:r>
  </w:p>
  <w:p w14:paraId="281EC711" w14:textId="77777777" w:rsidR="00A902FE" w:rsidRDefault="00A902FE" w:rsidP="00A902FE">
    <w:pPr>
      <w:pStyle w:val="Hlavika"/>
      <w:rPr>
        <w:color w:val="4F81BD" w:themeColor="accent1"/>
        <w:lang w:val="en-US"/>
      </w:rPr>
    </w:pPr>
    <w:r w:rsidRPr="00B04DD3">
      <w:rPr>
        <w:color w:val="4F81BD" w:themeColor="accent1"/>
        <w:lang w:val="en-US"/>
      </w:rPr>
      <w:t>Type of Action: JUST-AG</w:t>
    </w:r>
  </w:p>
  <w:p w14:paraId="3FC7AD1E" w14:textId="77777777" w:rsidR="00A902FE" w:rsidRPr="00B04DD3" w:rsidRDefault="00A902FE" w:rsidP="00A902FE">
    <w:pPr>
      <w:pStyle w:val="Hlavika"/>
      <w:rPr>
        <w:color w:val="4F81BD" w:themeColor="accent1"/>
        <w:lang w:val="en-US"/>
      </w:rPr>
    </w:pPr>
    <w:r>
      <w:rPr>
        <w:color w:val="4F81BD" w:themeColor="accent1"/>
        <w:lang w:val="en-US"/>
      </w:rPr>
      <w:t xml:space="preserve">   </w:t>
    </w:r>
    <w:r w:rsidRPr="00BF7543">
      <w:rPr>
        <w:color w:val="4F81BD" w:themeColor="accent1"/>
        <w:lang w:val="en-US"/>
      </w:rPr>
      <w:t xml:space="preserve">The project </w:t>
    </w:r>
    <w:r>
      <w:rPr>
        <w:color w:val="4F81BD" w:themeColor="accent1"/>
        <w:lang w:val="en-US"/>
      </w:rPr>
      <w:t xml:space="preserve">is </w:t>
    </w:r>
    <w:r w:rsidRPr="00BF7543">
      <w:rPr>
        <w:color w:val="4F81BD" w:themeColor="accent1"/>
        <w:lang w:val="en-US"/>
      </w:rPr>
      <w:t>financed by the European Commission</w:t>
    </w:r>
    <w:r>
      <w:rPr>
        <w:color w:val="4F81BD" w:themeColor="accent1"/>
        <w:lang w:val="en-US"/>
      </w:rPr>
      <w:t xml:space="preserve"> under Grant Agreement 800789</w:t>
    </w:r>
  </w:p>
  <w:p w14:paraId="48CE861F" w14:textId="77777777" w:rsidR="00ED0883" w:rsidRDefault="00ED0883" w:rsidP="00A902FE">
    <w:pPr>
      <w:pStyle w:val="Hlavika"/>
    </w:pPr>
  </w:p>
  <w:p w14:paraId="35FC25E9" w14:textId="77777777" w:rsidR="00ED0883" w:rsidRDefault="00ED088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8E8"/>
    <w:multiLevelType w:val="hybridMultilevel"/>
    <w:tmpl w:val="57561794"/>
    <w:lvl w:ilvl="0" w:tplc="040E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F64951"/>
    <w:multiLevelType w:val="hybridMultilevel"/>
    <w:tmpl w:val="F3906B60"/>
    <w:lvl w:ilvl="0" w:tplc="040E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EC3057D"/>
    <w:multiLevelType w:val="hybridMultilevel"/>
    <w:tmpl w:val="FB2C53FE"/>
    <w:lvl w:ilvl="0" w:tplc="040E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B6617C"/>
    <w:multiLevelType w:val="hybridMultilevel"/>
    <w:tmpl w:val="20A82CD2"/>
    <w:lvl w:ilvl="0" w:tplc="83526398">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5E7380"/>
    <w:multiLevelType w:val="hybridMultilevel"/>
    <w:tmpl w:val="FAC4E00A"/>
    <w:lvl w:ilvl="0" w:tplc="EF4CE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0B7954"/>
    <w:multiLevelType w:val="hybridMultilevel"/>
    <w:tmpl w:val="DD2A2366"/>
    <w:lvl w:ilvl="0" w:tplc="041B000F">
      <w:start w:val="1"/>
      <w:numFmt w:val="decimal"/>
      <w:lvlText w:val="%1."/>
      <w:lvlJc w:val="left"/>
      <w:pPr>
        <w:ind w:left="1083" w:hanging="360"/>
      </w:p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6" w15:restartNumberingAfterBreak="0">
    <w:nsid w:val="1C120B80"/>
    <w:multiLevelType w:val="hybridMultilevel"/>
    <w:tmpl w:val="C35AED0C"/>
    <w:lvl w:ilvl="0" w:tplc="040E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EE715E"/>
    <w:multiLevelType w:val="hybridMultilevel"/>
    <w:tmpl w:val="57561794"/>
    <w:lvl w:ilvl="0" w:tplc="040E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B359F1"/>
    <w:multiLevelType w:val="hybridMultilevel"/>
    <w:tmpl w:val="E0BC40AC"/>
    <w:lvl w:ilvl="0" w:tplc="040E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5142EDE"/>
    <w:multiLevelType w:val="hybridMultilevel"/>
    <w:tmpl w:val="FA2E5762"/>
    <w:lvl w:ilvl="0" w:tplc="040E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26972DC4"/>
    <w:multiLevelType w:val="hybridMultilevel"/>
    <w:tmpl w:val="E7FC73A4"/>
    <w:lvl w:ilvl="0" w:tplc="040E001B">
      <w:start w:val="1"/>
      <w:numFmt w:val="lowerRoman"/>
      <w:lvlText w:val="%1."/>
      <w:lvlJc w:val="righ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2E3A13E0"/>
    <w:multiLevelType w:val="hybridMultilevel"/>
    <w:tmpl w:val="6EAAE6F6"/>
    <w:lvl w:ilvl="0" w:tplc="04090019">
      <w:start w:val="1"/>
      <w:numFmt w:val="lowerLetter"/>
      <w:lvlText w:val="%1."/>
      <w:lvlJc w:val="left"/>
      <w:pPr>
        <w:ind w:left="1776" w:hanging="360"/>
      </w:pPr>
      <w:rPr>
        <w:rFonts w:cs="Times New Roman"/>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15:restartNumberingAfterBreak="0">
    <w:nsid w:val="33B440A1"/>
    <w:multiLevelType w:val="hybridMultilevel"/>
    <w:tmpl w:val="410E1A16"/>
    <w:lvl w:ilvl="0" w:tplc="041F0019">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15:restartNumberingAfterBreak="0">
    <w:nsid w:val="345E3304"/>
    <w:multiLevelType w:val="hybridMultilevel"/>
    <w:tmpl w:val="B114D1B4"/>
    <w:lvl w:ilvl="0" w:tplc="8BEA35F6">
      <w:start w:val="1"/>
      <w:numFmt w:val="lowerRoman"/>
      <w:lvlText w:val="%1."/>
      <w:lvlJc w:val="left"/>
      <w:pPr>
        <w:ind w:left="1440" w:hanging="360"/>
      </w:pPr>
      <w:rPr>
        <w:rFonts w:eastAsia="PMingLiU"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E9E6CC0"/>
    <w:multiLevelType w:val="hybridMultilevel"/>
    <w:tmpl w:val="E7FC73A4"/>
    <w:lvl w:ilvl="0" w:tplc="040E001B">
      <w:start w:val="1"/>
      <w:numFmt w:val="lowerRoman"/>
      <w:lvlText w:val="%1."/>
      <w:lvlJc w:val="righ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5" w15:restartNumberingAfterBreak="0">
    <w:nsid w:val="3F056A1F"/>
    <w:multiLevelType w:val="hybridMultilevel"/>
    <w:tmpl w:val="8828F49E"/>
    <w:lvl w:ilvl="0" w:tplc="DFE29BA4">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15:restartNumberingAfterBreak="0">
    <w:nsid w:val="451E5990"/>
    <w:multiLevelType w:val="hybridMultilevel"/>
    <w:tmpl w:val="E7FC73A4"/>
    <w:lvl w:ilvl="0" w:tplc="040E001B">
      <w:start w:val="1"/>
      <w:numFmt w:val="lowerRoman"/>
      <w:lvlText w:val="%1."/>
      <w:lvlJc w:val="righ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7" w15:restartNumberingAfterBreak="0">
    <w:nsid w:val="48330BCB"/>
    <w:multiLevelType w:val="hybridMultilevel"/>
    <w:tmpl w:val="F3906B60"/>
    <w:lvl w:ilvl="0" w:tplc="040E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A0565AA"/>
    <w:multiLevelType w:val="hybridMultilevel"/>
    <w:tmpl w:val="D8DAB5C2"/>
    <w:lvl w:ilvl="0" w:tplc="DFE29BA4">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4E2C2495"/>
    <w:multiLevelType w:val="hybridMultilevel"/>
    <w:tmpl w:val="93747482"/>
    <w:lvl w:ilvl="0" w:tplc="DFE29BA4">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4E641F6A"/>
    <w:multiLevelType w:val="hybridMultilevel"/>
    <w:tmpl w:val="93747482"/>
    <w:lvl w:ilvl="0" w:tplc="DFE29BA4">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4FDE4BC2"/>
    <w:multiLevelType w:val="hybridMultilevel"/>
    <w:tmpl w:val="E7FC73A4"/>
    <w:lvl w:ilvl="0" w:tplc="040E001B">
      <w:start w:val="1"/>
      <w:numFmt w:val="lowerRoman"/>
      <w:lvlText w:val="%1."/>
      <w:lvlJc w:val="righ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2" w15:restartNumberingAfterBreak="0">
    <w:nsid w:val="55A0196F"/>
    <w:multiLevelType w:val="hybridMultilevel"/>
    <w:tmpl w:val="3732F920"/>
    <w:lvl w:ilvl="0" w:tplc="040E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674768B"/>
    <w:multiLevelType w:val="hybridMultilevel"/>
    <w:tmpl w:val="FAECBE48"/>
    <w:lvl w:ilvl="0" w:tplc="57B8C52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F12B14"/>
    <w:multiLevelType w:val="hybridMultilevel"/>
    <w:tmpl w:val="B2AE4170"/>
    <w:lvl w:ilvl="0" w:tplc="040E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4D6B6F"/>
    <w:multiLevelType w:val="hybridMultilevel"/>
    <w:tmpl w:val="7D3E55FA"/>
    <w:lvl w:ilvl="0" w:tplc="CFFEDC8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C4C1757"/>
    <w:multiLevelType w:val="hybridMultilevel"/>
    <w:tmpl w:val="15CEFCB2"/>
    <w:lvl w:ilvl="0" w:tplc="040E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F4D5036"/>
    <w:multiLevelType w:val="hybridMultilevel"/>
    <w:tmpl w:val="F3906B60"/>
    <w:lvl w:ilvl="0" w:tplc="040E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FC422DE"/>
    <w:multiLevelType w:val="hybridMultilevel"/>
    <w:tmpl w:val="9F284F70"/>
    <w:lvl w:ilvl="0" w:tplc="040E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0E5477"/>
    <w:multiLevelType w:val="hybridMultilevel"/>
    <w:tmpl w:val="4874E7BC"/>
    <w:lvl w:ilvl="0" w:tplc="040E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9621DA"/>
    <w:multiLevelType w:val="hybridMultilevel"/>
    <w:tmpl w:val="55F29118"/>
    <w:lvl w:ilvl="0" w:tplc="040E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5B136C"/>
    <w:multiLevelType w:val="hybridMultilevel"/>
    <w:tmpl w:val="CF36F758"/>
    <w:lvl w:ilvl="0" w:tplc="73DE882E">
      <w:start w:val="4"/>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9414CA"/>
    <w:multiLevelType w:val="hybridMultilevel"/>
    <w:tmpl w:val="FBFC868A"/>
    <w:lvl w:ilvl="0" w:tplc="040E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A22F58"/>
    <w:multiLevelType w:val="hybridMultilevel"/>
    <w:tmpl w:val="919C7678"/>
    <w:lvl w:ilvl="0" w:tplc="040E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3DC3A2C"/>
    <w:multiLevelType w:val="hybridMultilevel"/>
    <w:tmpl w:val="BCEE8C32"/>
    <w:lvl w:ilvl="0" w:tplc="040E001B">
      <w:start w:val="1"/>
      <w:numFmt w:val="lowerRoman"/>
      <w:lvlText w:val="%1."/>
      <w:lvlJc w:val="righ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5" w15:restartNumberingAfterBreak="0">
    <w:nsid w:val="66F87F87"/>
    <w:multiLevelType w:val="hybridMultilevel"/>
    <w:tmpl w:val="80829C5A"/>
    <w:lvl w:ilvl="0" w:tplc="040E001B">
      <w:start w:val="1"/>
      <w:numFmt w:val="lowerRoman"/>
      <w:lvlText w:val="%1."/>
      <w:lvlJc w:val="righ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6" w15:restartNumberingAfterBreak="0">
    <w:nsid w:val="6AD24383"/>
    <w:multiLevelType w:val="hybridMultilevel"/>
    <w:tmpl w:val="84F8C2E0"/>
    <w:lvl w:ilvl="0" w:tplc="57B8C52A">
      <w:start w:val="1"/>
      <w:numFmt w:val="lowerRoman"/>
      <w:lvlText w:val="%1."/>
      <w:lvlJc w:val="left"/>
      <w:pPr>
        <w:ind w:left="1440" w:hanging="360"/>
      </w:pPr>
      <w:rPr>
        <w:rFonts w:hint="default"/>
      </w:rPr>
    </w:lvl>
    <w:lvl w:ilvl="1" w:tplc="08090019" w:tentative="1">
      <w:start w:val="1"/>
      <w:numFmt w:val="lowerLetter"/>
      <w:lvlText w:val="%2."/>
      <w:lvlJc w:val="left"/>
      <w:pPr>
        <w:ind w:left="2389" w:hanging="360"/>
      </w:pPr>
    </w:lvl>
    <w:lvl w:ilvl="2" w:tplc="0809001B" w:tentative="1">
      <w:start w:val="1"/>
      <w:numFmt w:val="lowerRoman"/>
      <w:lvlText w:val="%3."/>
      <w:lvlJc w:val="right"/>
      <w:pPr>
        <w:ind w:left="3109" w:hanging="180"/>
      </w:pPr>
    </w:lvl>
    <w:lvl w:ilvl="3" w:tplc="0809000F" w:tentative="1">
      <w:start w:val="1"/>
      <w:numFmt w:val="decimal"/>
      <w:lvlText w:val="%4."/>
      <w:lvlJc w:val="left"/>
      <w:pPr>
        <w:ind w:left="3829" w:hanging="360"/>
      </w:pPr>
    </w:lvl>
    <w:lvl w:ilvl="4" w:tplc="08090019" w:tentative="1">
      <w:start w:val="1"/>
      <w:numFmt w:val="lowerLetter"/>
      <w:lvlText w:val="%5."/>
      <w:lvlJc w:val="left"/>
      <w:pPr>
        <w:ind w:left="4549" w:hanging="360"/>
      </w:pPr>
    </w:lvl>
    <w:lvl w:ilvl="5" w:tplc="0809001B" w:tentative="1">
      <w:start w:val="1"/>
      <w:numFmt w:val="lowerRoman"/>
      <w:lvlText w:val="%6."/>
      <w:lvlJc w:val="right"/>
      <w:pPr>
        <w:ind w:left="5269" w:hanging="180"/>
      </w:pPr>
    </w:lvl>
    <w:lvl w:ilvl="6" w:tplc="0809000F" w:tentative="1">
      <w:start w:val="1"/>
      <w:numFmt w:val="decimal"/>
      <w:lvlText w:val="%7."/>
      <w:lvlJc w:val="left"/>
      <w:pPr>
        <w:ind w:left="5989" w:hanging="360"/>
      </w:pPr>
    </w:lvl>
    <w:lvl w:ilvl="7" w:tplc="08090019" w:tentative="1">
      <w:start w:val="1"/>
      <w:numFmt w:val="lowerLetter"/>
      <w:lvlText w:val="%8."/>
      <w:lvlJc w:val="left"/>
      <w:pPr>
        <w:ind w:left="6709" w:hanging="360"/>
      </w:pPr>
    </w:lvl>
    <w:lvl w:ilvl="8" w:tplc="0809001B" w:tentative="1">
      <w:start w:val="1"/>
      <w:numFmt w:val="lowerRoman"/>
      <w:lvlText w:val="%9."/>
      <w:lvlJc w:val="right"/>
      <w:pPr>
        <w:ind w:left="7429" w:hanging="180"/>
      </w:pPr>
    </w:lvl>
  </w:abstractNum>
  <w:abstractNum w:abstractNumId="37" w15:restartNumberingAfterBreak="0">
    <w:nsid w:val="6C1001AE"/>
    <w:multiLevelType w:val="hybridMultilevel"/>
    <w:tmpl w:val="BA16817C"/>
    <w:lvl w:ilvl="0" w:tplc="040E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C62341A"/>
    <w:multiLevelType w:val="hybridMultilevel"/>
    <w:tmpl w:val="F6FCDDC2"/>
    <w:lvl w:ilvl="0" w:tplc="F66E9FA4">
      <w:start w:val="3"/>
      <w:numFmt w:val="upperRoman"/>
      <w:lvlText w:val="%1."/>
      <w:lvlJc w:val="right"/>
      <w:pPr>
        <w:ind w:left="108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0E848A7"/>
    <w:multiLevelType w:val="hybridMultilevel"/>
    <w:tmpl w:val="E7FC73A4"/>
    <w:lvl w:ilvl="0" w:tplc="040E001B">
      <w:start w:val="1"/>
      <w:numFmt w:val="lowerRoman"/>
      <w:lvlText w:val="%1."/>
      <w:lvlJc w:val="righ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0" w15:restartNumberingAfterBreak="0">
    <w:nsid w:val="72527D85"/>
    <w:multiLevelType w:val="hybridMultilevel"/>
    <w:tmpl w:val="1C0C6A54"/>
    <w:lvl w:ilvl="0" w:tplc="040E0019">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5C4231B"/>
    <w:multiLevelType w:val="hybridMultilevel"/>
    <w:tmpl w:val="E8B623DE"/>
    <w:lvl w:ilvl="0" w:tplc="040E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D6721F"/>
    <w:multiLevelType w:val="hybridMultilevel"/>
    <w:tmpl w:val="B9BE5846"/>
    <w:lvl w:ilvl="0" w:tplc="F318796E">
      <w:start w:val="6"/>
      <w:numFmt w:val="upperRoman"/>
      <w:lvlText w:val="%1."/>
      <w:lvlJc w:val="righ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65433A"/>
    <w:multiLevelType w:val="hybridMultilevel"/>
    <w:tmpl w:val="57561794"/>
    <w:lvl w:ilvl="0" w:tplc="040E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B4144DE"/>
    <w:multiLevelType w:val="hybridMultilevel"/>
    <w:tmpl w:val="FBFC868A"/>
    <w:lvl w:ilvl="0" w:tplc="040E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E166C52"/>
    <w:multiLevelType w:val="hybridMultilevel"/>
    <w:tmpl w:val="E7FC73A4"/>
    <w:lvl w:ilvl="0" w:tplc="040E001B">
      <w:start w:val="1"/>
      <w:numFmt w:val="lowerRoman"/>
      <w:lvlText w:val="%1."/>
      <w:lvlJc w:val="righ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6" w15:restartNumberingAfterBreak="0">
    <w:nsid w:val="7EAA00D2"/>
    <w:multiLevelType w:val="hybridMultilevel"/>
    <w:tmpl w:val="95240848"/>
    <w:lvl w:ilvl="0" w:tplc="017C6B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FB529FA"/>
    <w:multiLevelType w:val="hybridMultilevel"/>
    <w:tmpl w:val="FBFC868A"/>
    <w:lvl w:ilvl="0" w:tplc="040E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0"/>
  </w:num>
  <w:num w:numId="2">
    <w:abstractNumId w:val="2"/>
  </w:num>
  <w:num w:numId="3">
    <w:abstractNumId w:val="4"/>
  </w:num>
  <w:num w:numId="4">
    <w:abstractNumId w:val="25"/>
  </w:num>
  <w:num w:numId="5">
    <w:abstractNumId w:val="40"/>
  </w:num>
  <w:num w:numId="6">
    <w:abstractNumId w:val="35"/>
  </w:num>
  <w:num w:numId="7">
    <w:abstractNumId w:val="12"/>
  </w:num>
  <w:num w:numId="8">
    <w:abstractNumId w:val="23"/>
  </w:num>
  <w:num w:numId="9">
    <w:abstractNumId w:val="47"/>
  </w:num>
  <w:num w:numId="10">
    <w:abstractNumId w:val="36"/>
  </w:num>
  <w:num w:numId="11">
    <w:abstractNumId w:val="11"/>
  </w:num>
  <w:num w:numId="12">
    <w:abstractNumId w:val="0"/>
  </w:num>
  <w:num w:numId="13">
    <w:abstractNumId w:val="39"/>
  </w:num>
  <w:num w:numId="14">
    <w:abstractNumId w:val="18"/>
  </w:num>
  <w:num w:numId="15">
    <w:abstractNumId w:val="15"/>
  </w:num>
  <w:num w:numId="16">
    <w:abstractNumId w:val="13"/>
  </w:num>
  <w:num w:numId="17">
    <w:abstractNumId w:val="33"/>
  </w:num>
  <w:num w:numId="18">
    <w:abstractNumId w:val="46"/>
  </w:num>
  <w:num w:numId="19">
    <w:abstractNumId w:val="19"/>
  </w:num>
  <w:num w:numId="20">
    <w:abstractNumId w:val="1"/>
  </w:num>
  <w:num w:numId="21">
    <w:abstractNumId w:val="34"/>
  </w:num>
  <w:num w:numId="22">
    <w:abstractNumId w:val="20"/>
  </w:num>
  <w:num w:numId="23">
    <w:abstractNumId w:val="37"/>
  </w:num>
  <w:num w:numId="24">
    <w:abstractNumId w:val="9"/>
  </w:num>
  <w:num w:numId="25">
    <w:abstractNumId w:val="22"/>
  </w:num>
  <w:num w:numId="26">
    <w:abstractNumId w:val="8"/>
  </w:num>
  <w:num w:numId="27">
    <w:abstractNumId w:val="44"/>
  </w:num>
  <w:num w:numId="28">
    <w:abstractNumId w:val="14"/>
  </w:num>
  <w:num w:numId="29">
    <w:abstractNumId w:val="32"/>
  </w:num>
  <w:num w:numId="30">
    <w:abstractNumId w:val="27"/>
  </w:num>
  <w:num w:numId="31">
    <w:abstractNumId w:val="45"/>
  </w:num>
  <w:num w:numId="32">
    <w:abstractNumId w:val="17"/>
  </w:num>
  <w:num w:numId="33">
    <w:abstractNumId w:val="10"/>
  </w:num>
  <w:num w:numId="34">
    <w:abstractNumId w:val="31"/>
  </w:num>
  <w:num w:numId="35">
    <w:abstractNumId w:val="26"/>
  </w:num>
  <w:num w:numId="36">
    <w:abstractNumId w:val="21"/>
  </w:num>
  <w:num w:numId="37">
    <w:abstractNumId w:val="7"/>
  </w:num>
  <w:num w:numId="38">
    <w:abstractNumId w:val="43"/>
  </w:num>
  <w:num w:numId="39">
    <w:abstractNumId w:val="16"/>
  </w:num>
  <w:num w:numId="40">
    <w:abstractNumId w:val="3"/>
  </w:num>
  <w:num w:numId="41">
    <w:abstractNumId w:val="6"/>
  </w:num>
  <w:num w:numId="42">
    <w:abstractNumId w:val="29"/>
  </w:num>
  <w:num w:numId="43">
    <w:abstractNumId w:val="24"/>
  </w:num>
  <w:num w:numId="44">
    <w:abstractNumId w:val="41"/>
  </w:num>
  <w:num w:numId="45">
    <w:abstractNumId w:val="28"/>
  </w:num>
  <w:num w:numId="46">
    <w:abstractNumId w:val="38"/>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2E"/>
    <w:rsid w:val="000015F4"/>
    <w:rsid w:val="00002423"/>
    <w:rsid w:val="00004B3B"/>
    <w:rsid w:val="000166A7"/>
    <w:rsid w:val="00024862"/>
    <w:rsid w:val="00027517"/>
    <w:rsid w:val="0003331C"/>
    <w:rsid w:val="00056565"/>
    <w:rsid w:val="000A595E"/>
    <w:rsid w:val="000B07D2"/>
    <w:rsid w:val="000D37F3"/>
    <w:rsid w:val="000D4497"/>
    <w:rsid w:val="000E3307"/>
    <w:rsid w:val="001011CE"/>
    <w:rsid w:val="00102564"/>
    <w:rsid w:val="00106AEF"/>
    <w:rsid w:val="00114300"/>
    <w:rsid w:val="001615DA"/>
    <w:rsid w:val="00183D3B"/>
    <w:rsid w:val="001A60B9"/>
    <w:rsid w:val="001A6AF4"/>
    <w:rsid w:val="001A7DD5"/>
    <w:rsid w:val="001D02E8"/>
    <w:rsid w:val="001D443C"/>
    <w:rsid w:val="001E05F1"/>
    <w:rsid w:val="001E6B6C"/>
    <w:rsid w:val="00220633"/>
    <w:rsid w:val="00243D98"/>
    <w:rsid w:val="002529AB"/>
    <w:rsid w:val="00265B54"/>
    <w:rsid w:val="002A3F84"/>
    <w:rsid w:val="002C0842"/>
    <w:rsid w:val="002E1490"/>
    <w:rsid w:val="00313353"/>
    <w:rsid w:val="003346CA"/>
    <w:rsid w:val="003516B4"/>
    <w:rsid w:val="00352F83"/>
    <w:rsid w:val="0036654D"/>
    <w:rsid w:val="00370D4D"/>
    <w:rsid w:val="003851C5"/>
    <w:rsid w:val="003A2345"/>
    <w:rsid w:val="003A4DD6"/>
    <w:rsid w:val="003B68E3"/>
    <w:rsid w:val="003C372F"/>
    <w:rsid w:val="003D6AFB"/>
    <w:rsid w:val="003F7075"/>
    <w:rsid w:val="0042634D"/>
    <w:rsid w:val="004373D7"/>
    <w:rsid w:val="00467A92"/>
    <w:rsid w:val="00470B15"/>
    <w:rsid w:val="0047522F"/>
    <w:rsid w:val="004801C6"/>
    <w:rsid w:val="00483520"/>
    <w:rsid w:val="004A0BC5"/>
    <w:rsid w:val="004A7CA3"/>
    <w:rsid w:val="004B1E03"/>
    <w:rsid w:val="004C42B3"/>
    <w:rsid w:val="004E32BE"/>
    <w:rsid w:val="004F0EA9"/>
    <w:rsid w:val="005129BB"/>
    <w:rsid w:val="00565744"/>
    <w:rsid w:val="005705B9"/>
    <w:rsid w:val="00573EA6"/>
    <w:rsid w:val="005833B6"/>
    <w:rsid w:val="00593112"/>
    <w:rsid w:val="00596F8B"/>
    <w:rsid w:val="00597C2F"/>
    <w:rsid w:val="00597F06"/>
    <w:rsid w:val="005A3559"/>
    <w:rsid w:val="005B57C4"/>
    <w:rsid w:val="005F4654"/>
    <w:rsid w:val="005F5884"/>
    <w:rsid w:val="0060076B"/>
    <w:rsid w:val="006150ED"/>
    <w:rsid w:val="00645CDE"/>
    <w:rsid w:val="00646610"/>
    <w:rsid w:val="00646821"/>
    <w:rsid w:val="00663FB9"/>
    <w:rsid w:val="00670CAC"/>
    <w:rsid w:val="00670D95"/>
    <w:rsid w:val="006B6219"/>
    <w:rsid w:val="006C792D"/>
    <w:rsid w:val="006E59C8"/>
    <w:rsid w:val="006F01EC"/>
    <w:rsid w:val="0071374E"/>
    <w:rsid w:val="00722C7A"/>
    <w:rsid w:val="00757AD9"/>
    <w:rsid w:val="00764FAA"/>
    <w:rsid w:val="00766691"/>
    <w:rsid w:val="00784CBC"/>
    <w:rsid w:val="007942B3"/>
    <w:rsid w:val="0079578F"/>
    <w:rsid w:val="007A1D48"/>
    <w:rsid w:val="007B171A"/>
    <w:rsid w:val="007D4926"/>
    <w:rsid w:val="007D6521"/>
    <w:rsid w:val="007E2675"/>
    <w:rsid w:val="007F77ED"/>
    <w:rsid w:val="0080242A"/>
    <w:rsid w:val="00826FAB"/>
    <w:rsid w:val="00831583"/>
    <w:rsid w:val="00835F2E"/>
    <w:rsid w:val="00845BDC"/>
    <w:rsid w:val="00880FC4"/>
    <w:rsid w:val="00882F56"/>
    <w:rsid w:val="008B233B"/>
    <w:rsid w:val="008C1185"/>
    <w:rsid w:val="008C1CB1"/>
    <w:rsid w:val="008C2949"/>
    <w:rsid w:val="008D30CB"/>
    <w:rsid w:val="008D444E"/>
    <w:rsid w:val="008D48A5"/>
    <w:rsid w:val="008D56C3"/>
    <w:rsid w:val="00900521"/>
    <w:rsid w:val="00901F48"/>
    <w:rsid w:val="009024C6"/>
    <w:rsid w:val="0091302B"/>
    <w:rsid w:val="00917E46"/>
    <w:rsid w:val="00930DF9"/>
    <w:rsid w:val="009809DD"/>
    <w:rsid w:val="00984E75"/>
    <w:rsid w:val="009A767C"/>
    <w:rsid w:val="009B39E6"/>
    <w:rsid w:val="009B5516"/>
    <w:rsid w:val="009C0648"/>
    <w:rsid w:val="00A05F99"/>
    <w:rsid w:val="00A06618"/>
    <w:rsid w:val="00A10F0E"/>
    <w:rsid w:val="00A166DC"/>
    <w:rsid w:val="00A2563A"/>
    <w:rsid w:val="00A63550"/>
    <w:rsid w:val="00A635A2"/>
    <w:rsid w:val="00A7083D"/>
    <w:rsid w:val="00A82B23"/>
    <w:rsid w:val="00A82CD2"/>
    <w:rsid w:val="00A902FE"/>
    <w:rsid w:val="00A96E5E"/>
    <w:rsid w:val="00AC5CF1"/>
    <w:rsid w:val="00AE77F5"/>
    <w:rsid w:val="00B00085"/>
    <w:rsid w:val="00B064DD"/>
    <w:rsid w:val="00B1766C"/>
    <w:rsid w:val="00B24CB4"/>
    <w:rsid w:val="00B37ED1"/>
    <w:rsid w:val="00B53F3F"/>
    <w:rsid w:val="00B556E0"/>
    <w:rsid w:val="00B57723"/>
    <w:rsid w:val="00B91457"/>
    <w:rsid w:val="00BB0FAA"/>
    <w:rsid w:val="00BB4CF9"/>
    <w:rsid w:val="00BD25E4"/>
    <w:rsid w:val="00BD3BA3"/>
    <w:rsid w:val="00BE7123"/>
    <w:rsid w:val="00C02969"/>
    <w:rsid w:val="00C145C8"/>
    <w:rsid w:val="00C341C9"/>
    <w:rsid w:val="00C34F04"/>
    <w:rsid w:val="00C36329"/>
    <w:rsid w:val="00C371FE"/>
    <w:rsid w:val="00C377EF"/>
    <w:rsid w:val="00C43C35"/>
    <w:rsid w:val="00C52068"/>
    <w:rsid w:val="00C6162B"/>
    <w:rsid w:val="00C71603"/>
    <w:rsid w:val="00C8073D"/>
    <w:rsid w:val="00C93701"/>
    <w:rsid w:val="00C96FE3"/>
    <w:rsid w:val="00CB370A"/>
    <w:rsid w:val="00CC7332"/>
    <w:rsid w:val="00CD3AB2"/>
    <w:rsid w:val="00CE0CCB"/>
    <w:rsid w:val="00CE161C"/>
    <w:rsid w:val="00CE62CC"/>
    <w:rsid w:val="00CF199F"/>
    <w:rsid w:val="00D43CF2"/>
    <w:rsid w:val="00D606D5"/>
    <w:rsid w:val="00D769D1"/>
    <w:rsid w:val="00D77CAB"/>
    <w:rsid w:val="00D850EE"/>
    <w:rsid w:val="00D93B29"/>
    <w:rsid w:val="00DA0A77"/>
    <w:rsid w:val="00DC2929"/>
    <w:rsid w:val="00DF42AF"/>
    <w:rsid w:val="00E0179E"/>
    <w:rsid w:val="00E3232E"/>
    <w:rsid w:val="00E45E2F"/>
    <w:rsid w:val="00E53235"/>
    <w:rsid w:val="00E53F2D"/>
    <w:rsid w:val="00E71026"/>
    <w:rsid w:val="00E71E04"/>
    <w:rsid w:val="00E72F5E"/>
    <w:rsid w:val="00E8590A"/>
    <w:rsid w:val="00EB1D2A"/>
    <w:rsid w:val="00EC4376"/>
    <w:rsid w:val="00ED0883"/>
    <w:rsid w:val="00ED332A"/>
    <w:rsid w:val="00EF5E39"/>
    <w:rsid w:val="00EF66CC"/>
    <w:rsid w:val="00EF7F92"/>
    <w:rsid w:val="00F00C85"/>
    <w:rsid w:val="00F106E6"/>
    <w:rsid w:val="00F11AEB"/>
    <w:rsid w:val="00F261A8"/>
    <w:rsid w:val="00F469FC"/>
    <w:rsid w:val="00F520DB"/>
    <w:rsid w:val="00F53492"/>
    <w:rsid w:val="00F5681B"/>
    <w:rsid w:val="00F56E6D"/>
    <w:rsid w:val="00F6060E"/>
    <w:rsid w:val="00F737D2"/>
    <w:rsid w:val="00F74501"/>
    <w:rsid w:val="00F81FCC"/>
    <w:rsid w:val="00F86817"/>
    <w:rsid w:val="00F967F8"/>
    <w:rsid w:val="00FA688B"/>
    <w:rsid w:val="00FC7CB0"/>
    <w:rsid w:val="00FD3E31"/>
    <w:rsid w:val="00FE7F92"/>
    <w:rsid w:val="00FF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A758"/>
  <w15:docId w15:val="{92CCC0CB-F4B7-4792-90BC-369B60B1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1490"/>
  </w:style>
  <w:style w:type="paragraph" w:styleId="Nadpis1">
    <w:name w:val="heading 1"/>
    <w:basedOn w:val="Normlny"/>
    <w:next w:val="Normlny"/>
    <w:link w:val="Nadpis1Char"/>
    <w:uiPriority w:val="9"/>
    <w:qFormat/>
    <w:rsid w:val="00A902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A10F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E1490"/>
    <w:pPr>
      <w:ind w:left="720"/>
      <w:contextualSpacing/>
    </w:pPr>
    <w:rPr>
      <w:rFonts w:eastAsiaTheme="minorEastAsia"/>
      <w:lang w:eastAsia="en-GB"/>
    </w:rPr>
  </w:style>
  <w:style w:type="paragraph" w:styleId="Hlavika">
    <w:name w:val="header"/>
    <w:basedOn w:val="Normlny"/>
    <w:link w:val="HlavikaChar"/>
    <w:uiPriority w:val="99"/>
    <w:unhideWhenUsed/>
    <w:rsid w:val="00370D4D"/>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370D4D"/>
  </w:style>
  <w:style w:type="paragraph" w:styleId="Pta">
    <w:name w:val="footer"/>
    <w:basedOn w:val="Normlny"/>
    <w:link w:val="PtaChar"/>
    <w:uiPriority w:val="99"/>
    <w:unhideWhenUsed/>
    <w:rsid w:val="00370D4D"/>
    <w:pPr>
      <w:tabs>
        <w:tab w:val="center" w:pos="4513"/>
        <w:tab w:val="right" w:pos="9026"/>
      </w:tabs>
      <w:spacing w:after="0" w:line="240" w:lineRule="auto"/>
    </w:pPr>
  </w:style>
  <w:style w:type="character" w:customStyle="1" w:styleId="PtaChar">
    <w:name w:val="Päta Char"/>
    <w:basedOn w:val="Predvolenpsmoodseku"/>
    <w:link w:val="Pta"/>
    <w:uiPriority w:val="99"/>
    <w:rsid w:val="00370D4D"/>
  </w:style>
  <w:style w:type="paragraph" w:styleId="Textpoznmkypodiarou">
    <w:name w:val="footnote text"/>
    <w:basedOn w:val="Normlny"/>
    <w:link w:val="TextpoznmkypodiarouChar"/>
    <w:uiPriority w:val="99"/>
    <w:semiHidden/>
    <w:unhideWhenUsed/>
    <w:rsid w:val="0048352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83520"/>
    <w:rPr>
      <w:sz w:val="20"/>
      <w:szCs w:val="20"/>
    </w:rPr>
  </w:style>
  <w:style w:type="character" w:styleId="Odkaznapoznmkupodiarou">
    <w:name w:val="footnote reference"/>
    <w:basedOn w:val="Predvolenpsmoodseku"/>
    <w:uiPriority w:val="99"/>
    <w:semiHidden/>
    <w:unhideWhenUsed/>
    <w:rsid w:val="00483520"/>
    <w:rPr>
      <w:vertAlign w:val="superscript"/>
    </w:rPr>
  </w:style>
  <w:style w:type="character" w:styleId="Odkaznakomentr">
    <w:name w:val="annotation reference"/>
    <w:basedOn w:val="Predvolenpsmoodseku"/>
    <w:uiPriority w:val="99"/>
    <w:semiHidden/>
    <w:unhideWhenUsed/>
    <w:rsid w:val="001E05F1"/>
    <w:rPr>
      <w:sz w:val="16"/>
      <w:szCs w:val="16"/>
    </w:rPr>
  </w:style>
  <w:style w:type="paragraph" w:styleId="Textkomentra">
    <w:name w:val="annotation text"/>
    <w:basedOn w:val="Normlny"/>
    <w:link w:val="TextkomentraChar"/>
    <w:uiPriority w:val="99"/>
    <w:semiHidden/>
    <w:unhideWhenUsed/>
    <w:rsid w:val="001E05F1"/>
    <w:pPr>
      <w:spacing w:line="240" w:lineRule="auto"/>
    </w:pPr>
    <w:rPr>
      <w:sz w:val="20"/>
      <w:szCs w:val="20"/>
    </w:rPr>
  </w:style>
  <w:style w:type="character" w:customStyle="1" w:styleId="TextkomentraChar">
    <w:name w:val="Text komentára Char"/>
    <w:basedOn w:val="Predvolenpsmoodseku"/>
    <w:link w:val="Textkomentra"/>
    <w:uiPriority w:val="99"/>
    <w:semiHidden/>
    <w:rsid w:val="001E05F1"/>
    <w:rPr>
      <w:sz w:val="20"/>
      <w:szCs w:val="20"/>
    </w:rPr>
  </w:style>
  <w:style w:type="paragraph" w:styleId="Predmetkomentra">
    <w:name w:val="annotation subject"/>
    <w:basedOn w:val="Textkomentra"/>
    <w:next w:val="Textkomentra"/>
    <w:link w:val="PredmetkomentraChar"/>
    <w:uiPriority w:val="99"/>
    <w:semiHidden/>
    <w:unhideWhenUsed/>
    <w:rsid w:val="001E05F1"/>
    <w:rPr>
      <w:b/>
      <w:bCs/>
    </w:rPr>
  </w:style>
  <w:style w:type="character" w:customStyle="1" w:styleId="PredmetkomentraChar">
    <w:name w:val="Predmet komentára Char"/>
    <w:basedOn w:val="TextkomentraChar"/>
    <w:link w:val="Predmetkomentra"/>
    <w:uiPriority w:val="99"/>
    <w:semiHidden/>
    <w:rsid w:val="001E05F1"/>
    <w:rPr>
      <w:b/>
      <w:bCs/>
      <w:sz w:val="20"/>
      <w:szCs w:val="20"/>
    </w:rPr>
  </w:style>
  <w:style w:type="paragraph" w:styleId="Textbubliny">
    <w:name w:val="Balloon Text"/>
    <w:basedOn w:val="Normlny"/>
    <w:link w:val="TextbublinyChar"/>
    <w:uiPriority w:val="99"/>
    <w:semiHidden/>
    <w:unhideWhenUsed/>
    <w:rsid w:val="001E05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05F1"/>
    <w:rPr>
      <w:rFonts w:ascii="Tahoma" w:hAnsi="Tahoma" w:cs="Tahoma"/>
      <w:sz w:val="16"/>
      <w:szCs w:val="16"/>
    </w:rPr>
  </w:style>
  <w:style w:type="character" w:customStyle="1" w:styleId="Nadpis1Char">
    <w:name w:val="Nadpis 1 Char"/>
    <w:basedOn w:val="Predvolenpsmoodseku"/>
    <w:link w:val="Nadpis1"/>
    <w:uiPriority w:val="9"/>
    <w:rsid w:val="00A902FE"/>
    <w:rPr>
      <w:rFonts w:asciiTheme="majorHAnsi" w:eastAsiaTheme="majorEastAsia" w:hAnsiTheme="majorHAnsi" w:cstheme="majorBidi"/>
      <w:color w:val="365F91" w:themeColor="accent1" w:themeShade="BF"/>
      <w:sz w:val="32"/>
      <w:szCs w:val="32"/>
    </w:rPr>
  </w:style>
  <w:style w:type="paragraph" w:styleId="Hlavikaobsahu">
    <w:name w:val="TOC Heading"/>
    <w:basedOn w:val="Nadpis1"/>
    <w:next w:val="Normlny"/>
    <w:uiPriority w:val="39"/>
    <w:unhideWhenUsed/>
    <w:qFormat/>
    <w:rsid w:val="00A902FE"/>
    <w:pPr>
      <w:spacing w:line="259" w:lineRule="auto"/>
      <w:outlineLvl w:val="9"/>
    </w:pPr>
    <w:rPr>
      <w:lang w:val="sk-SK" w:eastAsia="sk-SK"/>
    </w:rPr>
  </w:style>
  <w:style w:type="paragraph" w:styleId="Obsah1">
    <w:name w:val="toc 1"/>
    <w:basedOn w:val="Normlny"/>
    <w:next w:val="Normlny"/>
    <w:autoRedefine/>
    <w:uiPriority w:val="39"/>
    <w:unhideWhenUsed/>
    <w:rsid w:val="00A902FE"/>
    <w:pPr>
      <w:spacing w:after="100"/>
    </w:pPr>
  </w:style>
  <w:style w:type="character" w:styleId="Hypertextovprepojenie">
    <w:name w:val="Hyperlink"/>
    <w:basedOn w:val="Predvolenpsmoodseku"/>
    <w:uiPriority w:val="99"/>
    <w:unhideWhenUsed/>
    <w:rsid w:val="00A902FE"/>
    <w:rPr>
      <w:color w:val="0000FF" w:themeColor="hyperlink"/>
      <w:u w:val="single"/>
    </w:rPr>
  </w:style>
  <w:style w:type="character" w:customStyle="1" w:styleId="Nadpis2Char">
    <w:name w:val="Nadpis 2 Char"/>
    <w:basedOn w:val="Predvolenpsmoodseku"/>
    <w:link w:val="Nadpis2"/>
    <w:uiPriority w:val="9"/>
    <w:rsid w:val="00A10F0E"/>
    <w:rPr>
      <w:rFonts w:asciiTheme="majorHAnsi" w:eastAsiaTheme="majorEastAsia" w:hAnsiTheme="majorHAnsi" w:cstheme="majorBidi"/>
      <w:color w:val="365F91" w:themeColor="accent1" w:themeShade="BF"/>
      <w:sz w:val="26"/>
      <w:szCs w:val="26"/>
    </w:rPr>
  </w:style>
  <w:style w:type="character" w:styleId="Zvraznenie">
    <w:name w:val="Emphasis"/>
    <w:basedOn w:val="Predvolenpsmoodseku"/>
    <w:uiPriority w:val="20"/>
    <w:qFormat/>
    <w:rsid w:val="00F10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0692">
      <w:bodyDiv w:val="1"/>
      <w:marLeft w:val="0"/>
      <w:marRight w:val="0"/>
      <w:marTop w:val="0"/>
      <w:marBottom w:val="0"/>
      <w:divBdr>
        <w:top w:val="none" w:sz="0" w:space="0" w:color="auto"/>
        <w:left w:val="none" w:sz="0" w:space="0" w:color="auto"/>
        <w:bottom w:val="none" w:sz="0" w:space="0" w:color="auto"/>
        <w:right w:val="none" w:sz="0" w:space="0" w:color="auto"/>
      </w:divBdr>
      <w:divsChild>
        <w:div w:id="1880894490">
          <w:marLeft w:val="0"/>
          <w:marRight w:val="0"/>
          <w:marTop w:val="0"/>
          <w:marBottom w:val="0"/>
          <w:divBdr>
            <w:top w:val="none" w:sz="0" w:space="0" w:color="auto"/>
            <w:left w:val="none" w:sz="0" w:space="0" w:color="auto"/>
            <w:bottom w:val="none" w:sz="0" w:space="0" w:color="auto"/>
            <w:right w:val="none" w:sz="0" w:space="0" w:color="auto"/>
          </w:divBdr>
        </w:div>
        <w:div w:id="1913198941">
          <w:marLeft w:val="0"/>
          <w:marRight w:val="0"/>
          <w:marTop w:val="0"/>
          <w:marBottom w:val="0"/>
          <w:divBdr>
            <w:top w:val="none" w:sz="0" w:space="0" w:color="auto"/>
            <w:left w:val="none" w:sz="0" w:space="0" w:color="auto"/>
            <w:bottom w:val="none" w:sz="0" w:space="0" w:color="auto"/>
            <w:right w:val="none" w:sz="0" w:space="0" w:color="auto"/>
          </w:divBdr>
        </w:div>
        <w:div w:id="644774158">
          <w:marLeft w:val="0"/>
          <w:marRight w:val="0"/>
          <w:marTop w:val="0"/>
          <w:marBottom w:val="0"/>
          <w:divBdr>
            <w:top w:val="none" w:sz="0" w:space="0" w:color="auto"/>
            <w:left w:val="none" w:sz="0" w:space="0" w:color="auto"/>
            <w:bottom w:val="none" w:sz="0" w:space="0" w:color="auto"/>
            <w:right w:val="none" w:sz="0" w:space="0" w:color="auto"/>
          </w:divBdr>
        </w:div>
        <w:div w:id="1160542599">
          <w:marLeft w:val="0"/>
          <w:marRight w:val="0"/>
          <w:marTop w:val="0"/>
          <w:marBottom w:val="0"/>
          <w:divBdr>
            <w:top w:val="none" w:sz="0" w:space="0" w:color="auto"/>
            <w:left w:val="none" w:sz="0" w:space="0" w:color="auto"/>
            <w:bottom w:val="none" w:sz="0" w:space="0" w:color="auto"/>
            <w:right w:val="none" w:sz="0" w:space="0" w:color="auto"/>
          </w:divBdr>
        </w:div>
        <w:div w:id="1252196715">
          <w:marLeft w:val="0"/>
          <w:marRight w:val="0"/>
          <w:marTop w:val="0"/>
          <w:marBottom w:val="0"/>
          <w:divBdr>
            <w:top w:val="none" w:sz="0" w:space="0" w:color="auto"/>
            <w:left w:val="none" w:sz="0" w:space="0" w:color="auto"/>
            <w:bottom w:val="none" w:sz="0" w:space="0" w:color="auto"/>
            <w:right w:val="none" w:sz="0" w:space="0" w:color="auto"/>
          </w:divBdr>
        </w:div>
        <w:div w:id="2090613463">
          <w:marLeft w:val="0"/>
          <w:marRight w:val="0"/>
          <w:marTop w:val="0"/>
          <w:marBottom w:val="0"/>
          <w:divBdr>
            <w:top w:val="none" w:sz="0" w:space="0" w:color="auto"/>
            <w:left w:val="none" w:sz="0" w:space="0" w:color="auto"/>
            <w:bottom w:val="none" w:sz="0" w:space="0" w:color="auto"/>
            <w:right w:val="none" w:sz="0" w:space="0" w:color="auto"/>
          </w:divBdr>
        </w:div>
        <w:div w:id="1656453630">
          <w:marLeft w:val="0"/>
          <w:marRight w:val="0"/>
          <w:marTop w:val="0"/>
          <w:marBottom w:val="0"/>
          <w:divBdr>
            <w:top w:val="none" w:sz="0" w:space="0" w:color="auto"/>
            <w:left w:val="none" w:sz="0" w:space="0" w:color="auto"/>
            <w:bottom w:val="none" w:sz="0" w:space="0" w:color="auto"/>
            <w:right w:val="none" w:sz="0" w:space="0" w:color="auto"/>
          </w:divBdr>
        </w:div>
        <w:div w:id="620234781">
          <w:marLeft w:val="0"/>
          <w:marRight w:val="0"/>
          <w:marTop w:val="0"/>
          <w:marBottom w:val="0"/>
          <w:divBdr>
            <w:top w:val="none" w:sz="0" w:space="0" w:color="auto"/>
            <w:left w:val="none" w:sz="0" w:space="0" w:color="auto"/>
            <w:bottom w:val="none" w:sz="0" w:space="0" w:color="auto"/>
            <w:right w:val="none" w:sz="0" w:space="0" w:color="auto"/>
          </w:divBdr>
        </w:div>
        <w:div w:id="124152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sud.sk/zbierka-stanovisk-a-rozhodnut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3713-DA51-4674-84B0-11709974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2716</Words>
  <Characters>15483</Characters>
  <Application>Microsoft Office Word</Application>
  <DocSecurity>0</DocSecurity>
  <Lines>129</Lines>
  <Paragraphs>36</Paragraphs>
  <ScaleCrop>false</ScaleCrop>
  <HeadingPairs>
    <vt:vector size="6" baseType="variant">
      <vt:variant>
        <vt:lpstr>Názov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University of Aberdeen</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c:creator>
  <cp:lastModifiedBy>admin</cp:lastModifiedBy>
  <cp:revision>4</cp:revision>
  <dcterms:created xsi:type="dcterms:W3CDTF">2021-03-04T10:36:00Z</dcterms:created>
  <dcterms:modified xsi:type="dcterms:W3CDTF">2021-03-04T11:04:00Z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