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E902" w14:textId="0275040B" w:rsidR="00B1766C" w:rsidRPr="0013383C" w:rsidRDefault="001F528D" w:rsidP="0013383C">
      <w:pPr>
        <w:pStyle w:val="Nadpis1"/>
        <w:numPr>
          <w:ilvl w:val="0"/>
          <w:numId w:val="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13383C">
        <w:rPr>
          <w:rFonts w:ascii="Times New Roman" w:eastAsia="PMingLiU" w:hAnsi="Times New Roman" w:cs="Times New Roman"/>
          <w:b/>
          <w:color w:val="auto"/>
          <w:sz w:val="24"/>
          <w:szCs w:val="24"/>
          <w:lang w:val="sk-SK"/>
        </w:rPr>
        <w:t>Slovenská súdna prax v rodinnoprávnych veciach s cezhraničným dopadom.</w:t>
      </w:r>
    </w:p>
    <w:p w14:paraId="31606596" w14:textId="55371AB4" w:rsidR="00C867EA" w:rsidRPr="0013383C" w:rsidRDefault="00C867EA" w:rsidP="0013383C">
      <w:pPr>
        <w:keepNext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</w:p>
    <w:p w14:paraId="3E083C3D" w14:textId="65E8F079" w:rsidR="000F0879" w:rsidRPr="0013383C" w:rsidRDefault="009569A9" w:rsidP="0013383C">
      <w:pPr>
        <w:keepNext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Podľa údajov z verejnej databázy (justice.gov.sk) slovenské súdy rozhodovali vo veciach spojených s aplikáciou Nariadenia</w:t>
      </w:r>
      <w:r w:rsidR="001F528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(ES) č. 2201/2003 o právomoci a uznávaní a výkone rozsudkov v manželských veciach a vo veciach rodičovských práv a povinností,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Brusel </w:t>
      </w:r>
      <w:proofErr w:type="spellStart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345-krát, z toho je jedno rozhodnutie Najvyššieho súdu, 30 rozhodnutí krajských súdov a zvyšnú časť tvoria rozhodnutia okresných súdov. Ako uvádzame v úvode správy, verejné databázy nezachytia úplne všetky rozhodnutia týkajúce sa aplikácie toho ktorého nariadenia EÚ, preto sme i v tomto prípade výber rozhodnutí dopĺňali selekciou vo verejnoprávnych databázach. Výber najzaujímavejších rozhodnutí slovenských súdov</w:t>
      </w:r>
      <w:r w:rsidR="00E32E76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vo veciach rozvodov manželstva a</w:t>
      </w:r>
      <w:bookmarkStart w:id="0" w:name="_GoBack"/>
      <w:bookmarkEnd w:id="0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rodičovských práv a povinností s cezhraničným dopadom prinášame dolunižšie. V prípade Nariadenia Brusel </w:t>
      </w:r>
      <w:proofErr w:type="spellStart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dopĺňame tento výber i o niekoľko rozhodnutí Ústavného súdu Slovenskej republiky, a to najmä vo veciach občianskoprávnych únosov detí. </w:t>
      </w:r>
    </w:p>
    <w:p w14:paraId="578DEDA7" w14:textId="25C10F07" w:rsidR="009569A9" w:rsidRPr="0013383C" w:rsidRDefault="009569A9" w:rsidP="0013383C">
      <w:pPr>
        <w:keepNext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</w:p>
    <w:p w14:paraId="7A6A3723" w14:textId="3E1E629A" w:rsidR="001F528D" w:rsidRPr="0013383C" w:rsidRDefault="001F528D" w:rsidP="0013383C">
      <w:pPr>
        <w:keepNext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Slovenská republika sa nezúčastňuje posilnenej spolupráce v oblasti rozhodného práva pre rozluku a rozvod, ani posilnenej spolupráce v oblasti právomoci, rozhodného práva a uznávania a výkonu rozhodnutí vo veciach majetkových režimov manželov a vo veciach majetkových dôsledkov registrovaných partnerstiev. Vzhľadom na to slovenské súdy neaplikujú Nariadenie (ES) č. 2201/2003 (tzv. Rím III), Nariadenie (EÚ) č. 2016/1103 a Nariadenie (EÚ) č. 2016/1104.</w:t>
      </w:r>
    </w:p>
    <w:p w14:paraId="366CB378" w14:textId="77777777" w:rsidR="00C867EA" w:rsidRPr="0013383C" w:rsidRDefault="00C867EA" w:rsidP="0013383C">
      <w:pPr>
        <w:pStyle w:val="Odsekzoznamu"/>
        <w:keepNext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</w:p>
    <w:p w14:paraId="592BE2D0" w14:textId="15BF6E70" w:rsidR="00B1766C" w:rsidRPr="0013383C" w:rsidRDefault="001F528D" w:rsidP="0013383C">
      <w:pPr>
        <w:pStyle w:val="Odsekzoznamu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 xml:space="preserve">Právomoc a uznávanie a výkon rozhodnutí v manželských veciach a vo veciach rodičovských práva a povinností: aplikácia Nariadenia Brusel </w:t>
      </w:r>
      <w:proofErr w:type="spellStart"/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14:paraId="50D9C914" w14:textId="77777777" w:rsidR="003C6DDF" w:rsidRPr="0013383C" w:rsidRDefault="003C6DDF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AD46FF" w14:textId="2C9DB345" w:rsidR="00B1766C" w:rsidRPr="0013383C" w:rsidRDefault="001F528D" w:rsidP="0013383C">
      <w:pPr>
        <w:pStyle w:val="Odsekzoznamu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Právomoc a súvisiace otázky</w:t>
      </w:r>
    </w:p>
    <w:p w14:paraId="6E895124" w14:textId="71E96563" w:rsidR="00B1766C" w:rsidRPr="0013383C" w:rsidRDefault="001F528D" w:rsidP="0013383C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bCs/>
          <w:iCs/>
          <w:sz w:val="24"/>
          <w:szCs w:val="24"/>
          <w:lang w:val="sk-SK"/>
        </w:rPr>
        <w:t>Rozvod, rozluka a vyhlásenie manželstva za neplatné</w:t>
      </w:r>
    </w:p>
    <w:p w14:paraId="24FACE3C" w14:textId="37042AF1" w:rsidR="00B1766C" w:rsidRPr="0013383C" w:rsidRDefault="001F528D" w:rsidP="0013383C">
      <w:pPr>
        <w:pStyle w:val="Odsekzoznamu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Rodičovské práva a povinnosti</w:t>
      </w:r>
    </w:p>
    <w:p w14:paraId="56B06C61" w14:textId="757A6F73" w:rsidR="003C6DDF" w:rsidRPr="0013383C" w:rsidRDefault="003C6DDF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5B2ADC9" w14:textId="51C40211" w:rsidR="004A4EC4" w:rsidRPr="0013383C" w:rsidRDefault="00867197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Právomoc vo veci rozvodu manželstva </w:t>
      </w:r>
      <w:r w:rsidR="00DB725A" w:rsidRPr="0013383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právomoc vo veciach rodičovských práv a povinností (osobnej starostlivosti o dieťa) je založená primárne na obvyklom pobyte účastníkov týchto vzťahov</w:t>
      </w:r>
      <w:r w:rsidR="00415867"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5867" w:rsidRPr="0013383C">
        <w:rPr>
          <w:rFonts w:ascii="Times New Roman" w:hAnsi="Times New Roman" w:cs="Times New Roman"/>
          <w:sz w:val="24"/>
          <w:szCs w:val="24"/>
          <w:lang w:val="sk-SK"/>
        </w:rPr>
        <w:t>J</w:t>
      </w:r>
      <w:r w:rsidR="00BF4C8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edného z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manžel</w:t>
      </w:r>
      <w:r w:rsidR="00415867" w:rsidRPr="0013383C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BF4C8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oboch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manželov v prvom </w:t>
      </w:r>
      <w:r w:rsidR="00BF4C8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zmienenom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type konaní, dieťaťa v druhom</w:t>
      </w:r>
      <w:r w:rsidR="00BF4C8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zmienenom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type konaní. </w:t>
      </w:r>
      <w:r w:rsidR="00E5528F" w:rsidRPr="0013383C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bvykl</w:t>
      </w:r>
      <w:r w:rsidR="00E5528F" w:rsidRPr="0013383C">
        <w:rPr>
          <w:rFonts w:ascii="Times New Roman" w:hAnsi="Times New Roman" w:cs="Times New Roman"/>
          <w:sz w:val="24"/>
          <w:szCs w:val="24"/>
          <w:lang w:val="sk-SK"/>
        </w:rPr>
        <w:t>ý pobyt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5528F" w:rsidRPr="0013383C">
        <w:rPr>
          <w:rFonts w:ascii="Times New Roman" w:hAnsi="Times New Roman" w:cs="Times New Roman"/>
          <w:sz w:val="24"/>
          <w:szCs w:val="24"/>
          <w:lang w:val="sk-SK"/>
        </w:rPr>
        <w:t>pritom predstavuje faktický, nie právny koncept,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nie je </w:t>
      </w:r>
      <w:r w:rsidR="00E5528F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ho preto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možné preukázať z evidencie obyvateľstva</w:t>
      </w:r>
      <w:r w:rsidR="004158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alebo inej evidencie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dotknutých štátov, ale vyžaduje samostatné posúdenie súdom na základe okolno</w:t>
      </w:r>
      <w:r w:rsidR="004A4EC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stí prípadu, doložených tvrdeniami účastníkov a dôkazmi predloženými účastníkmi konania. Nemožno sa preto diviť že </w:t>
      </w:r>
      <w:r w:rsidR="006716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otázka určenia obvyklého pobytu je často ústrednou otázkou posudzovanou slovenskými súdmi pri určovaní právomoci podľa Nariadenia Brusel </w:t>
      </w:r>
      <w:proofErr w:type="spellStart"/>
      <w:r w:rsidR="006716FB" w:rsidRPr="0013383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444D1C" w:rsidRPr="0013383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6716FB" w:rsidRPr="0013383C">
        <w:rPr>
          <w:rFonts w:ascii="Times New Roman" w:hAnsi="Times New Roman" w:cs="Times New Roman"/>
          <w:sz w:val="24"/>
          <w:szCs w:val="24"/>
          <w:lang w:val="sk-SK"/>
        </w:rPr>
        <w:t>a</w:t>
      </w:r>
      <w:proofErr w:type="spellEnd"/>
      <w:r w:rsidR="006716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7F5E379F" w14:textId="32CC22A5" w:rsidR="00415867" w:rsidRPr="0013383C" w:rsidRDefault="00415867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C59D581" w14:textId="7A8060EE" w:rsidR="00415867" w:rsidRPr="0013383C" w:rsidRDefault="00FF0BB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F54601" w:rsidRPr="0013383C">
        <w:rPr>
          <w:rFonts w:ascii="Times New Roman" w:hAnsi="Times New Roman" w:cs="Times New Roman"/>
          <w:sz w:val="24"/>
          <w:szCs w:val="24"/>
          <w:lang w:val="sk-SK"/>
        </w:rPr>
        <w:t>etailne sa</w:t>
      </w:r>
      <w:r w:rsidR="004158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15867" w:rsidRPr="0013383C">
        <w:rPr>
          <w:rFonts w:ascii="Times New Roman" w:hAnsi="Times New Roman" w:cs="Times New Roman"/>
          <w:b/>
          <w:sz w:val="24"/>
          <w:szCs w:val="24"/>
          <w:lang w:val="sk-SK"/>
        </w:rPr>
        <w:t>Najvyšší súd Slovenskej republiky</w:t>
      </w:r>
      <w:r w:rsidR="00F5460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zaoberal otázkou existencie obvyklého pobytu manželky vo svojom rozhodnutí z 25. 4. 2018, </w:t>
      </w:r>
      <w:proofErr w:type="spellStart"/>
      <w:r w:rsidR="00F54601"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F54601" w:rsidRPr="0013383C">
        <w:rPr>
          <w:rFonts w:ascii="Times New Roman" w:hAnsi="Times New Roman" w:cs="Times New Roman"/>
          <w:sz w:val="24"/>
          <w:szCs w:val="24"/>
          <w:lang w:val="sk-SK"/>
        </w:rPr>
        <w:t>. zn. 5Cdo/137/2017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300C5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"/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Najvyšší súd rozhodoval o dovolaní navrhovateľky proti rozhodnutiu Krajského súdu v Bratislave, ktorým tento potvrdil zastavenie konania vo vec</w:t>
      </w:r>
      <w:r w:rsidR="00F5460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i rozvodu manželov a úpravy rodičovských práv a povinností k 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>spoločnému dieťaťu manželov, z dôvodu nedostatku medzinárodnej právomoci na konanie</w:t>
      </w:r>
      <w:r w:rsidR="00F5460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2D12B9" w:rsidRPr="0013383C">
        <w:rPr>
          <w:rFonts w:ascii="Times New Roman" w:hAnsi="Times New Roman" w:cs="Times New Roman"/>
          <w:sz w:val="24"/>
          <w:szCs w:val="24"/>
          <w:lang w:val="sk-SK"/>
        </w:rPr>
        <w:t>Návrh na rozvod bol na slovenský súd podaný manželkou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Manželia </w:t>
      </w:r>
      <w:r w:rsidR="002D12B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pritom nemali rovnaké štátne občianstvo, nikdy nemali spoločný obvyklý pobyt na území Slovenskej republiky a manžel mal v čase podania návrhu na rozvod obvyklý pobyt vo Fínsku. Právomoc </w:t>
      </w:r>
      <w:r w:rsidR="002D12B9"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slovenského súdu mohla byť tak založená len na ustanovení článku 3 ods. 1 písmeno a)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Nariadenia Brusel </w:t>
      </w:r>
      <w:proofErr w:type="spellStart"/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2D12B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piata alebo šiesta zarážka. Navrhovateľka, ktorá bola štátnou občiankou </w:t>
      </w:r>
      <w:r w:rsidR="00E5528F" w:rsidRPr="0013383C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>lovenskej republiky</w:t>
      </w:r>
      <w:r w:rsidR="00B1777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>argumentovala že v čase podania návrhu mala už vyše šesť mesiacov obvyklý pobyt na Slovensku</w:t>
      </w:r>
      <w:r w:rsidR="00B17779"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17779" w:rsidRPr="0013383C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>údy</w:t>
      </w:r>
      <w:r w:rsidR="00B1777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(prvostupňový, odvolací i dovolací)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teda posudzovali či sú splnené podmienky pre </w:t>
      </w:r>
      <w:r w:rsidR="00B17779" w:rsidRPr="0013383C">
        <w:rPr>
          <w:rFonts w:ascii="Times New Roman" w:hAnsi="Times New Roman" w:cs="Times New Roman"/>
          <w:sz w:val="24"/>
          <w:szCs w:val="24"/>
          <w:lang w:val="sk-SK"/>
        </w:rPr>
        <w:t>existenciu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právomoci</w:t>
      </w:r>
      <w:r w:rsidR="00B1777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 zmysle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článku 3 ods. 1 písmeno a) šiesta zarážka</w:t>
      </w:r>
      <w:r w:rsidR="00ED341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2655B5AE" w14:textId="0571973B" w:rsidR="00ED3413" w:rsidRPr="0013383C" w:rsidRDefault="00ED3413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1C36169" w14:textId="585796B2" w:rsidR="00ED3413" w:rsidRPr="0013383C" w:rsidRDefault="00C66CA3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Najvyšší súd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sa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pri posudzovaní existencie obvyklého pobytu navrhovateľky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 území SR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>odvolal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rozsudk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SD EÚ vo veciach “</w:t>
      </w:r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A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” C-523/07</w:t>
      </w:r>
      <w:r w:rsidR="00CF584F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Mercredi</w:t>
      </w:r>
      <w:proofErr w:type="spellEnd"/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CF584F" w:rsidRPr="0013383C">
        <w:rPr>
          <w:rFonts w:ascii="Times New Roman" w:hAnsi="Times New Roman" w:cs="Times New Roman"/>
          <w:i/>
          <w:sz w:val="24"/>
          <w:szCs w:val="24"/>
          <w:lang w:val="sk-SK"/>
        </w:rPr>
        <w:t>proti</w:t>
      </w:r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Chaffe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C-497/10</w:t>
      </w:r>
      <w:r w:rsidR="00CF584F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</w:p>
    <w:p w14:paraId="0752DE7C" w14:textId="535D400D" w:rsidR="00E473CA" w:rsidRPr="0013383C" w:rsidRDefault="00CF584F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C. proti M.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C-376/14 PPU. Ako skonštatoval Najvyšší súd, uvedené rozhodnutia sa síce týkajú výkladu článku 8 a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nasl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Nariadenia Brusel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, avšak vzhľadom na jednotný pojem obvyklého pobytu obsiahnutý v tomto nariadení nie je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podľa NS SR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dôvod pre ktorý by tieto závery nemohli byť primeran</w:t>
      </w:r>
      <w:r w:rsidR="00814197" w:rsidRPr="0013383C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použiteľné a právne relevantné aj pri určovaní obsahu tohoto pojmu pokiaľ ide o rozvod, rozluku alebo anulovanie manželstva. </w:t>
      </w:r>
    </w:p>
    <w:p w14:paraId="2A171446" w14:textId="77777777" w:rsidR="00E473CA" w:rsidRPr="0013383C" w:rsidRDefault="00E473C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6DD98DA" w14:textId="26BC850A" w:rsidR="00B17779" w:rsidRPr="0013383C" w:rsidRDefault="00B17779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Najvyšší súd zrekapi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>tuloval ktoré faktory je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zmysle vyššie citovanej judikatúry SD EÚ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potrebné </w:t>
      </w:r>
      <w:r w:rsidR="00D36D72" w:rsidRPr="0013383C">
        <w:rPr>
          <w:rFonts w:ascii="Times New Roman" w:hAnsi="Times New Roman" w:cs="Times New Roman"/>
          <w:sz w:val="24"/>
          <w:szCs w:val="24"/>
          <w:lang w:val="sk-SK"/>
        </w:rPr>
        <w:t>vziať do úvahy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pri určova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í miesta obvyklého pobytu osoby. Sú to</w:t>
      </w:r>
      <w:r w:rsidR="00D36D72" w:rsidRPr="0013383C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trvanie, pravidelnosť, podmienky a dôvody pobytu osoby na území členského štátu a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>presťahovania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rodiny do tohto štátu,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ďalej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štátna príslušnosť, pracovné aktivity, jazykové znalosti a rodinné a sociálne väzby dotknutej osoby v danom štáte. Pričom súbor týchto kritérií umožňuje identifikovať obvyklý pobyt ako miesto kde má dotknutá osoba centrum (ťažisko) svojho života. Najvyšší súd poukázal tiež na to, 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>že štátne občianstvo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ani</w:t>
      </w:r>
      <w:r w:rsidR="00D36D7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dĺžka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36D7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trvania 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>pobytu osoby v </w:t>
      </w:r>
      <w:r w:rsidR="00E473CA" w:rsidRPr="0013383C">
        <w:rPr>
          <w:rFonts w:ascii="Times New Roman" w:hAnsi="Times New Roman" w:cs="Times New Roman"/>
          <w:sz w:val="24"/>
          <w:szCs w:val="24"/>
          <w:lang w:val="sk-SK"/>
        </w:rPr>
        <w:t>relevantnom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štáte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nemožno považovať za faktory ktoré by mali pri určovaní obvyklého pobytu rozhodujúci význam, ak nie sú podopreté ďalšími okolnosťami.</w:t>
      </w:r>
      <w:r w:rsidR="007F733B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2"/>
      </w:r>
      <w:r w:rsidR="007F733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EE23896" w14:textId="58D76D5E" w:rsidR="00E473CA" w:rsidRPr="0013383C" w:rsidRDefault="00E473C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B8B8C48" w14:textId="741BE9F7" w:rsidR="00E473CA" w:rsidRPr="0013383C" w:rsidRDefault="00E473C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 nadväznosti na uvedené Najvyšší súd SR </w:t>
      </w:r>
      <w:r w:rsidR="00D36D7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prišiel k záveru že navrhovateľka nemala šesť mesiacov bezprostredne pred podaním návrhu na rozvod obvyklý pobyt na území Slovenskej republiky. </w:t>
      </w:r>
      <w:r w:rsidR="006B2609" w:rsidRPr="0013383C">
        <w:rPr>
          <w:rFonts w:ascii="Times New Roman" w:hAnsi="Times New Roman" w:cs="Times New Roman"/>
          <w:sz w:val="24"/>
          <w:szCs w:val="24"/>
          <w:lang w:val="sk-SK"/>
        </w:rPr>
        <w:t>Súd pripomenul</w:t>
      </w:r>
      <w:r w:rsidR="00D36D7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že úmysel navrhovateľky – manželky podávajúcej návrh na rozvod, založiť si svoj obvyklý pobyt na území SR je možné posudzovať len z vonkajších, preukázateľných okolností prípadu, ktoré boli zistené v konaní pred súdmi nižších stupňov.</w:t>
      </w:r>
      <w:r w:rsidR="00D36D72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3"/>
      </w:r>
      <w:r w:rsidR="006B260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Tieto okolnosti vedú vo svojom súhrne logicky k záveru že navrhovateľka si vytvorila centrum svojho života na území iného členského štátu (Fínska) a tento úmysel zostal nezmenený i v preukázanom období. Manželia sa krátko po narodení dcéry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(približne štyri a pol roka pred podaním návrhu na rozvod na slovenský súd) presťahovali do tohto iného </w:t>
      </w:r>
      <w:r w:rsidR="006B260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člensk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ého </w:t>
      </w:r>
      <w:r w:rsidR="006B2609" w:rsidRPr="0013383C">
        <w:rPr>
          <w:rFonts w:ascii="Times New Roman" w:hAnsi="Times New Roman" w:cs="Times New Roman"/>
          <w:sz w:val="24"/>
          <w:szCs w:val="24"/>
          <w:lang w:val="sk-SK"/>
        </w:rPr>
        <w:t>štát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u, kde viedli spoločnú domácnosť v rodinnom dome ktorý 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následne 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>nadobudli do spoločného vlastníctva. Obaja manželia boli na území tohto členského štátu zamestnaní, registrovaní v jeho sociálnom systéme a tiež v evidencii obyvateľstva. V sociálnom systéme tohto iného členského štátu bola evidovaná i ich maloletá dcéra, ktorá tu navštevovala škôlku a na ktorú poberali rodičia príspev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ok z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>o systému sociálneho zabezpečenia. Manželka i jej maloletá dcéra tak boli integrované v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prostredí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> to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>hoto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člensk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štát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>. Po rozpade vzťahu manželov manželka pravidelne navštevovala Slovensko za účelom návštevy príbuzných, ale vždy sa vracala späť na územ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vyššie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C23B3" w:rsidRPr="0013383C">
        <w:rPr>
          <w:rFonts w:ascii="Times New Roman" w:hAnsi="Times New Roman" w:cs="Times New Roman"/>
          <w:sz w:val="24"/>
          <w:szCs w:val="24"/>
          <w:lang w:val="sk-SK"/>
        </w:rPr>
        <w:t>uvedeného členského štátu.</w:t>
      </w:r>
      <w:r w:rsidR="006B260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Ako Najvyšší súd pripomenul, na účely posúdenia právomoci v zmysle článku 3 ods. 1 písm. a/ bod 6 boli rozhodujúce výlučne </w:t>
      </w:r>
      <w:r w:rsidR="00A300C5"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okolnosti  existujúce pred podaním návrhu na rozvod a nebolo možné prihliadnuť na aktivity navrhovateľky a spôsob vedenia života s jej maloletou dcérou po podaní návrhu na rozvod. </w:t>
      </w:r>
    </w:p>
    <w:p w14:paraId="51450780" w14:textId="1B8DBC41" w:rsidR="009E2A8A" w:rsidRPr="0013383C" w:rsidRDefault="009E2A8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AC317F5" w14:textId="5EA59CE5" w:rsidR="00214789" w:rsidRPr="0013383C" w:rsidRDefault="009E2A8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Na skutočnosť, že 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pri určovaní obvyklého pobytu, v tomto prípade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maloletého dieťaťa, nie je možné prihliadať čisto len na fyzickú prítomnosť dieťaťa v určitom členskom štáte poukázal aj </w:t>
      </w:r>
      <w:r w:rsidRPr="0013383C">
        <w:rPr>
          <w:rFonts w:ascii="Times New Roman" w:hAnsi="Times New Roman" w:cs="Times New Roman"/>
          <w:b/>
          <w:sz w:val="24"/>
          <w:szCs w:val="24"/>
          <w:lang w:val="sk-SK"/>
        </w:rPr>
        <w:t>Krajský súd v Banskej Bystrici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vo svojom rozhodnutí z </w:t>
      </w:r>
      <w:r w:rsidRPr="0013383C">
        <w:rPr>
          <w:rFonts w:ascii="Times New Roman" w:hAnsi="Times New Roman" w:cs="Times New Roman"/>
          <w:b/>
          <w:sz w:val="24"/>
          <w:szCs w:val="24"/>
          <w:lang w:val="sk-SK"/>
        </w:rPr>
        <w:t>30.11.2017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 zn. 12CoP/64/2017. Krajský súd rozhodoval o odvolaní proti rozhodnutiu prvostupňového súdu, ktorým prvostupňový súd zastavil konanie vo veci náhradnej osobnej starostlivosti o dieťa, z dôvodu nedostatku medzinárodnej právomoci. Malolet</w:t>
      </w:r>
      <w:r w:rsidR="00214789" w:rsidRPr="0013383C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už minimálne pol roka pred podaním návrhu </w:t>
      </w:r>
      <w:r w:rsidR="0021478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žil v Rakúsku, spolu s príbuznou ktorej bol zverený do osobnej starostlivosti. V Rakúsku navštevoval i základnú školu. V Rakúsku si ale nevedel zvyknúť, neovládal dobre nemecký jazyk, v škole nemal kamarátov a sám sa dožadoval návratu do Slovenskej republiky, kde žili jeho rodičia. </w:t>
      </w:r>
    </w:p>
    <w:p w14:paraId="7E127265" w14:textId="77777777" w:rsidR="00214789" w:rsidRPr="0013383C" w:rsidRDefault="00214789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F8F2491" w14:textId="77777777" w:rsidR="00212952" w:rsidRPr="0013383C" w:rsidRDefault="00214789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Krajský súd vytkol prvostupňovému súdu že, okrem školskej dochádzky a dĺžky pobytu maloletého v inom členskom štáte, neskúmal naplnenie ďalších faktorov dôležitých pre určovanie obvyklého pobytu dieťaťa, ako sú podmienky a dôvody pobytu maloletého na území tohto iného členského štátu, nepresťahovanie celej rodiny, štátnu príslušnosť dieťaťa (dieťa malo len slovenské štátne občianstvo), riadne plnenie školskej dochádzky,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aj začlenenie maloletého do školského kolektívu a zvládanie učiva, jazykové znalosti a rodinné a sociálne väzby dieťaťa. Krajský súd pritom poukázal na význam „najlepšieho záujmu dieťaťa“ ako nosného kritéria ktoré je súd povinný brať do úvahy </w:t>
      </w:r>
      <w:r w:rsidR="00721D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pri určovaní právomoci konať o rodičovských právach a povinnostiach. Krajský súd upozornil tak na odôvodnenie č. 12 Nariadenia Brusel </w:t>
      </w:r>
      <w:proofErr w:type="spellStart"/>
      <w:r w:rsidR="00721D1E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721D1E" w:rsidRPr="0013383C">
        <w:rPr>
          <w:rFonts w:ascii="Times New Roman" w:hAnsi="Times New Roman" w:cs="Times New Roman"/>
          <w:sz w:val="24"/>
          <w:szCs w:val="24"/>
          <w:lang w:val="sk-SK"/>
        </w:rPr>
        <w:t>, ako i na Všeobecný komentár č. 14 z roku 2013 Výboru pre práva dieťaťa, o práve dieťaťa na prvoradé zohľadnenie jeho alebo jeho najlepšieho záujmu,</w:t>
      </w:r>
      <w:r w:rsidR="00721D1E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4"/>
      </w:r>
      <w:r w:rsidR="00721D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 na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21D1E" w:rsidRPr="0013383C">
        <w:rPr>
          <w:rFonts w:ascii="Times New Roman" w:hAnsi="Times New Roman" w:cs="Times New Roman"/>
          <w:sz w:val="24"/>
          <w:szCs w:val="24"/>
          <w:lang w:val="sk-SK"/>
        </w:rPr>
        <w:t>článok 18 Dohovoru o právach dieťaťa z r. 1989.</w:t>
      </w:r>
      <w:r w:rsidR="0021295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17B0B84" w14:textId="77777777" w:rsidR="00212952" w:rsidRPr="0013383C" w:rsidRDefault="0021295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FC340D4" w14:textId="6344F9C0" w:rsidR="00212952" w:rsidRPr="0013383C" w:rsidRDefault="0021295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S týmito odporúčaniami Krajský súd v Banskej Bystrici vrátil vec prvostupňovému súdu na ďalšie konanie. Prvostupňový súd upozornil tiež na možnosť využiť i článok 12 Nariadenia 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Brusel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, keďže z vyjadrení otca a matky dieťaťa v prvostupňovom konaní ako i z konania osoby ktorá má dieťa zverené do osobnej starostlivosti a ktorá podal návrh na zmenu osobnej starostlivosti na slovenský súd, je zjavná vôľa týchto osôb podrobiť sa právomoci slovenského súdu.</w:t>
      </w:r>
    </w:p>
    <w:p w14:paraId="2D61C143" w14:textId="20F77F70" w:rsidR="00DB7564" w:rsidRPr="0013383C" w:rsidRDefault="00DB7564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E4FB227" w14:textId="7BDEEE7B" w:rsidR="004F3D4B" w:rsidRPr="0013383C" w:rsidRDefault="004F3D4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Zaujímavé</w:t>
      </w:r>
      <w:r w:rsidR="00444D1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 originálne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sú závery </w:t>
      </w:r>
      <w:r w:rsidRPr="0013383C">
        <w:rPr>
          <w:rFonts w:ascii="Times New Roman" w:hAnsi="Times New Roman" w:cs="Times New Roman"/>
          <w:b/>
          <w:sz w:val="24"/>
          <w:szCs w:val="24"/>
          <w:lang w:val="sk-SK"/>
        </w:rPr>
        <w:t>Krajského súdu v Trnave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prezentované v rozhodnutí zo </w:t>
      </w:r>
      <w:r w:rsidRPr="0013383C">
        <w:rPr>
          <w:rFonts w:ascii="Times New Roman" w:hAnsi="Times New Roman" w:cs="Times New Roman"/>
          <w:b/>
          <w:sz w:val="24"/>
          <w:szCs w:val="24"/>
          <w:lang w:val="sk-SK"/>
        </w:rPr>
        <w:t>14. 1. 2019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 zn. 11CoP/71/2018. Krajský súd v Trnave pripustil zhojenie nedostatku právomoci slovenského súdu konať vo veci rodičovských práv a povinností k maloletému dieťaťu, v situácii keď v priebehu odvolacieho konania došlo k naplneni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kritérií pre založenie právomoci slovenského súdu. </w:t>
      </w:r>
    </w:p>
    <w:p w14:paraId="4A6CE29A" w14:textId="77777777" w:rsidR="004F3D4B" w:rsidRPr="0013383C" w:rsidRDefault="004F3D4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1E0B770" w14:textId="488C4BC0" w:rsidR="00DB7564" w:rsidRPr="0013383C" w:rsidRDefault="004F3D4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V čase podania návrhu na začatie konania na prvostupňový súd neboli naplnené dôvody pre založenie právomoci slovenského súdu. Dieťa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o ktoré šlo,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pobývalo v tomto čase na území Slovenskej republiky necelý mesiac, navyše matka s dieťaťom opustil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krajinu jeho pôvodného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obvyklého pobytu bez súhlasu otca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ktorý mal spolu s matkou opatrovnícke právo k dieťaťu. Otec síce neinicioval </w:t>
      </w:r>
      <w:r w:rsidR="001D052C" w:rsidRPr="0013383C">
        <w:rPr>
          <w:rFonts w:ascii="Times New Roman" w:hAnsi="Times New Roman" w:cs="Times New Roman"/>
          <w:sz w:val="24"/>
          <w:szCs w:val="24"/>
          <w:lang w:val="sk-SK"/>
        </w:rPr>
        <w:t>konanie o návrat dieťaťa v zmysle Haagskeho dohovoru o občianskoprávnych aspektoch medzinárodných únosov detí z r. 1980, inicioval ale konanie</w:t>
      </w:r>
      <w:r w:rsidR="00444D1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vo veci rodičovských práv</w:t>
      </w:r>
      <w:r w:rsidR="001D052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 súde členského štátu pôvodného obvyklého pobytu dieťaťa. Predmetný súd vydal rozhodnutie 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1D052C" w:rsidRPr="0013383C">
        <w:rPr>
          <w:rFonts w:ascii="Times New Roman" w:hAnsi="Times New Roman" w:cs="Times New Roman"/>
          <w:sz w:val="24"/>
          <w:szCs w:val="24"/>
          <w:lang w:val="sk-SK"/>
        </w:rPr>
        <w:t> ktorého vyplývala povinnosť návratu dieťaťa do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krajiny jeho obvyklého pobytu a</w:t>
      </w:r>
      <w:r w:rsidR="00916E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otec podal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Slovenskej republike</w:t>
      </w:r>
      <w:r w:rsidR="00916E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návrh na výkon tohto rozhodnutia. Vzhľadom na tieto skutočnosti slovenský prvostupňový súd vyhlásil že nemá právomoc konať vo veci rodičovských práva a povinností k dieťaťu a s poukazom na článok 17 Nariadenia Brusel </w:t>
      </w:r>
      <w:proofErr w:type="spellStart"/>
      <w:r w:rsidR="00916E67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916E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svoje konanie zastavil.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Je ale potrebné </w:t>
      </w:r>
      <w:r w:rsidR="00C50199" w:rsidRPr="0013383C">
        <w:rPr>
          <w:rFonts w:ascii="Times New Roman" w:hAnsi="Times New Roman" w:cs="Times New Roman"/>
          <w:sz w:val="24"/>
          <w:szCs w:val="24"/>
          <w:lang w:val="sk-SK"/>
        </w:rPr>
        <w:t>uviesť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že medzi podaním návrhu na úpravu výkonu rodičovských práv a povinností na prvostupňový súd a rozhodnutím prvostupňového súdu o zastavení konania pre nedostatok právomoci</w:t>
      </w:r>
      <w:r w:rsidR="00916E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>uplynuli dva roky. Počas týchto dvoch rokov nebolo ukončené ani paralelne vedené konanie o</w:t>
      </w:r>
      <w:r w:rsidR="00C50199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422BC" w:rsidRPr="0013383C">
        <w:rPr>
          <w:rFonts w:ascii="Times New Roman" w:hAnsi="Times New Roman" w:cs="Times New Roman"/>
          <w:sz w:val="24"/>
          <w:szCs w:val="24"/>
          <w:lang w:val="sk-SK"/>
        </w:rPr>
        <w:t>výk</w:t>
      </w:r>
      <w:r w:rsidR="00C5019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one rozhodnutia súdu členského štátu pôvodného obvyklého pobytu dieťaťa v Slovenskej republike. </w:t>
      </w:r>
    </w:p>
    <w:p w14:paraId="11AD9296" w14:textId="18D09AD8" w:rsidR="00C50199" w:rsidRPr="0013383C" w:rsidRDefault="00C50199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DC10C15" w14:textId="1084F4BD" w:rsidR="006716FB" w:rsidRPr="0013383C" w:rsidRDefault="00C50199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K rozhodujúcemu zvratu v okolnostiach prípadu došlo po rozhodnutí prvostupňového slovenského súdu o zastavení konania, počas odvolacieho konania vedeného pred Krajským súdom v Trnave. Pretože po dobu dvoch rokov sa nepodarilo vykonať vyššieuvedené rozhodnutie súdu členského štátu pôvodného obvyklého pobytu dieťaťa, obaja rodičia,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 i otec dieťaťa požiadali súd ktorý rozhodnutie vydal o</w:t>
      </w:r>
      <w:r w:rsidR="0042558D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zrušenie</w:t>
      </w:r>
      <w:r w:rsidR="0042558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predmetného rozhodnutia a súd ich podaniu vyhovel. Krajský súd v Trnave túto situáciu vyhodnotil ako zmierenie sa otca dieťaťa s únosom, čo spolu so skutočnosťou že dieťa nadobudlo v SR obvyklý pobyt a zžilo sa </w:t>
      </w:r>
      <w:r w:rsidR="009E2D56" w:rsidRPr="0013383C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42558D" w:rsidRPr="0013383C">
        <w:rPr>
          <w:rFonts w:ascii="Times New Roman" w:hAnsi="Times New Roman" w:cs="Times New Roman"/>
          <w:sz w:val="24"/>
          <w:szCs w:val="24"/>
          <w:lang w:val="sk-SK"/>
        </w:rPr>
        <w:t> novým prostredím</w:t>
      </w:r>
      <w:r w:rsidR="009E2D56" w:rsidRPr="0013383C">
        <w:rPr>
          <w:rFonts w:ascii="Times New Roman" w:hAnsi="Times New Roman" w:cs="Times New Roman"/>
          <w:sz w:val="24"/>
          <w:szCs w:val="24"/>
          <w:lang w:val="sk-SK"/>
        </w:rPr>
        <w:t>, zakladá vznik právomoci slovenských súdov.</w:t>
      </w:r>
      <w:r w:rsidR="00827C4D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5"/>
      </w:r>
      <w:r w:rsidR="009E2D56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Ako skonštatoval Krajský súd, i keď v čase začatia konania pred prvostupňovým slovenským súdom nebola daná právomoc tohto súdu, s prihliadnutím na zmenu okolností by bolo v rozpore s najlepším záujmom dieťaťa i so zásadou hospodárnosti konania trvať na tom aby bolo potrebné iniciovať nové konanie vo veci rodičovských práv a povinností, keď v súčasnosti je jedno také konanie už v SR vedené. Krajský súd preto zrušil rozhodnutie prvostupňového súdu o zastavení konania a vec mu vrátil na nové prejednanie.</w:t>
      </w:r>
      <w:r w:rsidR="009E2D56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6"/>
      </w:r>
      <w:r w:rsidR="009E2D56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7ADA890" w14:textId="24D6AA4B" w:rsidR="00382636" w:rsidRPr="0013383C" w:rsidRDefault="0038263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A4FCE98" w14:textId="1D3DA1A1" w:rsidR="00382636" w:rsidRPr="0013383C" w:rsidRDefault="0038263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Z viacerých rozhodnutí slovenských krajských súdov</w:t>
      </w:r>
      <w:r w:rsidR="00687BE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je tiež možné vyvodiť že rešpektujú článok 10 Nariadenia Brusel </w:t>
      </w:r>
      <w:proofErr w:type="spellStart"/>
      <w:r w:rsidR="00687BE3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687BE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 v situáciách keď sa na slovenských súdoch vedie konanie o návrate neoprávnene odvedeného alebo zadržaného dieťaťa v zmysle Haagskeho dohovoru z r. 1980, rešpektujú výlučnú právomoc súdu členského štátu pôvodného obvyklého pobytu dieťaťa. Krajský súd v Trnave v takejto situácii rozhodol o zastavení konania o úprave rodičovských práv a povinností ktoré na slovenskom súde iniciovala matka dieťaťa a páchateľka občianskoprávneho únosu</w:t>
      </w:r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pre nedostatok právomoci slovenských súdov – uznesenie </w:t>
      </w:r>
      <w:r w:rsidR="008D33DA" w:rsidRPr="0013383C">
        <w:rPr>
          <w:rFonts w:ascii="Times New Roman" w:hAnsi="Times New Roman" w:cs="Times New Roman"/>
          <w:b/>
          <w:sz w:val="24"/>
          <w:szCs w:val="24"/>
          <w:lang w:val="sk-SK"/>
        </w:rPr>
        <w:t>Krajského súdu v Trnave</w:t>
      </w:r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 </w:t>
      </w:r>
      <w:r w:rsidR="008D33DA" w:rsidRPr="0013383C">
        <w:rPr>
          <w:rFonts w:ascii="Times New Roman" w:hAnsi="Times New Roman" w:cs="Times New Roman"/>
          <w:b/>
          <w:sz w:val="24"/>
          <w:szCs w:val="24"/>
          <w:lang w:val="sk-SK"/>
        </w:rPr>
        <w:t>25. 1. 2017</w:t>
      </w:r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>. zn. 24CoP/1/2017.</w:t>
      </w:r>
      <w:r w:rsidR="00687BE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Krajský súd zároveň zrušil predbežné opatrenie nariadené prvostupňovým súdom v tejto veci, s poukazom na to že nie sú splnené dôvody pre uplatnenie článku 20 Nariadenia Brusel </w:t>
      </w:r>
      <w:proofErr w:type="spellStart"/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8D33D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nakoľko nejde o naliehavý prípad.  </w:t>
      </w:r>
    </w:p>
    <w:p w14:paraId="0D424ADC" w14:textId="69E42CA8" w:rsidR="00827C4D" w:rsidRPr="0013383C" w:rsidRDefault="00827C4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64C852" w14:textId="5F3D2DC1" w:rsidR="008C1154" w:rsidRPr="0013383C" w:rsidRDefault="001D3305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Niekedy môžu tvoriť zdanlivo neprekonateľnú prekážku uplatnenia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ustanovení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Nariadenia Brusel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 právomoci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>ustanovenia vnútroštátneho práva. V rámci slovenskej právnej úpravy to bol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o obligatórne spojenie 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konania o rozvode s konaním o úprave rodičovských práv 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a povinností k dieťaťu rozvádzajúcich sa manželov, vyplývajúc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tak z hmotnoprávneho predpisu – § 24 ods. 1 Zák. č. 36/2005 </w:t>
      </w:r>
      <w:proofErr w:type="spellStart"/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o rodine, ako i z procesného predpisu - 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§ 100 zák. č. 161/2015 </w:t>
      </w:r>
      <w:proofErr w:type="spellStart"/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>Z.z</w:t>
      </w:r>
      <w:proofErr w:type="spellEnd"/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Civilný mimosporový poriadok (predtým  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§ 113 ods. 1 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ák. č. 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>99/1963</w:t>
      </w:r>
      <w:r w:rsidR="00C66E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Zb. O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>bčiansky súdny poriadok).</w:t>
      </w:r>
      <w:r w:rsidR="00CD6E0A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7"/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Prvostupňový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slovenský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súd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sa preto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domnieval že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situácii keď nemal v zmysle Nariadenia Brusel </w:t>
      </w:r>
      <w:proofErr w:type="spellStart"/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právomoc rozhodovať vo veci rodičovských práv a povinností, nemôže konať ani o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rozvode, 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hoci jeho právomoc vo veci rozvodu 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daná bola. 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>Vzhľadom na uvedené p</w:t>
      </w:r>
      <w:r w:rsidR="00B42AE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rvostupňový súd konanie vo veci rozvodu i vo veci rodičovských práv a povinností zastavil. </w:t>
      </w:r>
      <w:r w:rsidR="00B42AE1" w:rsidRPr="0013383C">
        <w:rPr>
          <w:rFonts w:ascii="Times New Roman" w:hAnsi="Times New Roman" w:cs="Times New Roman"/>
          <w:b/>
          <w:sz w:val="24"/>
          <w:szCs w:val="24"/>
          <w:lang w:val="sk-SK"/>
        </w:rPr>
        <w:t>Krajský súd v</w:t>
      </w:r>
      <w:r w:rsidR="00CD6E0A" w:rsidRPr="0013383C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="00B42AE1" w:rsidRPr="0013383C">
        <w:rPr>
          <w:rFonts w:ascii="Times New Roman" w:hAnsi="Times New Roman" w:cs="Times New Roman"/>
          <w:b/>
          <w:sz w:val="24"/>
          <w:szCs w:val="24"/>
          <w:lang w:val="sk-SK"/>
        </w:rPr>
        <w:t>B</w:t>
      </w:r>
      <w:r w:rsidR="00CD6E0A" w:rsidRPr="0013383C">
        <w:rPr>
          <w:rFonts w:ascii="Times New Roman" w:hAnsi="Times New Roman" w:cs="Times New Roman"/>
          <w:b/>
          <w:sz w:val="24"/>
          <w:szCs w:val="24"/>
          <w:lang w:val="sk-SK"/>
        </w:rPr>
        <w:t>ratislave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svojim rozhodnutím z </w:t>
      </w:r>
      <w:r w:rsidR="00CD6E0A" w:rsidRPr="0013383C">
        <w:rPr>
          <w:rFonts w:ascii="Times New Roman" w:hAnsi="Times New Roman" w:cs="Times New Roman"/>
          <w:b/>
          <w:sz w:val="24"/>
          <w:szCs w:val="24"/>
          <w:lang w:val="sk-SK"/>
        </w:rPr>
        <w:t>13.1.2014</w:t>
      </w:r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CD6E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zn. 11CoP/326/2013 predmetné rozhodnutie prvostupňového súdu zrušil a vec mu vrátil na ďalšie konanie. </w:t>
      </w:r>
    </w:p>
    <w:p w14:paraId="1CB1DD45" w14:textId="77777777" w:rsidR="008C1154" w:rsidRPr="0013383C" w:rsidRDefault="008C1154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BFB4373" w14:textId="77777777" w:rsidR="00D6341D" w:rsidRPr="0013383C" w:rsidRDefault="00F04E7E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Vo svojom rozhodnutí Krajský súd konštatoval že ustanovenia slovenského práva </w:t>
      </w:r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sú použiteľné vo vzťahu k Nariadeniu Brusel </w:t>
      </w:r>
      <w:proofErr w:type="spellStart"/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subsidiárne, za predpokladu že ustanovenia nariadenia o právomoci vo veciach rozvodu, ako i vo veciach rodičovských práv a povinností, ukazujú na totožný</w:t>
      </w:r>
      <w:r w:rsidR="00426F3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členský</w:t>
      </w:r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štát. Až potom je možné v súlade s ustanoveniami slovenského práva spojiť tieto dve konania.</w:t>
      </w:r>
      <w:r w:rsidR="00464F1E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8"/>
      </w:r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Vo vzťahu k Nariadeniu B</w:t>
      </w:r>
      <w:r w:rsidR="00426F3A" w:rsidRPr="0013383C">
        <w:rPr>
          <w:rFonts w:ascii="Times New Roman" w:hAnsi="Times New Roman" w:cs="Times New Roman"/>
          <w:sz w:val="24"/>
          <w:szCs w:val="24"/>
          <w:lang w:val="sk-SK"/>
        </w:rPr>
        <w:t>ru</w:t>
      </w:r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sel </w:t>
      </w:r>
      <w:proofErr w:type="spellStart"/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464F1E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poukázal  na skutočnosť že Nariadenie Brusel </w:t>
      </w:r>
      <w:proofErr w:type="spellStart"/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8C115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predpokladá len možnosť, nie však povinnosť aby konanie o rozvod manželstva a konanie o úprave výkonu rodičovských práv a povinností prebiehalo v jednom </w:t>
      </w:r>
      <w:r w:rsidR="00464F1E" w:rsidRPr="0013383C">
        <w:rPr>
          <w:rFonts w:ascii="Times New Roman" w:hAnsi="Times New Roman" w:cs="Times New Roman"/>
          <w:sz w:val="24"/>
          <w:szCs w:val="24"/>
          <w:lang w:val="sk-SK"/>
        </w:rPr>
        <w:t>štáte (odôvodnenie č. 6 nariadenia).</w:t>
      </w:r>
      <w:r w:rsidR="00CC727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560078B" w14:textId="77777777" w:rsidR="00D6341D" w:rsidRPr="0013383C" w:rsidRDefault="00D634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19210E1" w14:textId="71577F7F" w:rsidR="00827C4D" w:rsidRPr="0013383C" w:rsidRDefault="00CC7279" w:rsidP="00133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Argumentácia Krajského súdu v Bratislave vyvoláva aj ďalšiu otázku, a to čo v prípade ak by mal slovenský súd právomoc tak vo veci rozvodu manželstva, ako i vo veci rodičovských práv a povinností, ale navrhovateľ/-ka by v návrhu žiadal/-a len rozvod manželstva, nie teda úpravu výkonu rodičovských práv a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povinností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 maloletému dieťaťu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Mohol by v tomto prípade slovenský súd ísť nad rámec toho čo žiadajú účastníci konania vo veci s cudzím prvkom, na základe toho že to od neho </w:t>
      </w:r>
      <w:r w:rsidR="00BD39E2" w:rsidRPr="0013383C">
        <w:rPr>
          <w:rFonts w:ascii="Times New Roman" w:hAnsi="Times New Roman" w:cs="Times New Roman"/>
          <w:sz w:val="24"/>
          <w:szCs w:val="24"/>
          <w:lang w:val="sk-SK"/>
        </w:rPr>
        <w:t>vyžadujú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subsidiárne </w:t>
      </w:r>
      <w:r w:rsidRPr="0013383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použiteľné predpisy slovenského práva</w:t>
      </w:r>
      <w:r w:rsidR="00426F3A" w:rsidRPr="0013383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? </w:t>
      </w:r>
      <w:r w:rsidR="00B876DB" w:rsidRPr="0013383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Z</w:t>
      </w:r>
      <w:r w:rsidR="00162B9F" w:rsidRPr="0013383C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 niektorých vyjadrení Krajského súdu v Bratislave sa javí že je takémuto postupu naklonený. Je treba tiež podotknúť že slovenské právo prikladá veľkú dôležitosť tomu, aby pomery k maloletým deťom nezostali na čas po rozvode neupravené.</w:t>
      </w:r>
    </w:p>
    <w:p w14:paraId="6B949AD9" w14:textId="51908FD6" w:rsidR="00464F1E" w:rsidRPr="0013383C" w:rsidRDefault="00464F1E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163970" w14:textId="77777777" w:rsidR="00D6341D" w:rsidRPr="0013383C" w:rsidRDefault="00464F1E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Krajský súd v Bratislave sa vyjadril i k podmienkam uplatnenia článku 12 Nariadenia Brusel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podmienkach Slovenskej republiky. </w:t>
      </w:r>
      <w:r w:rsidR="00162B9F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Poukázal na to, že v podmienkach Slovenskej republiky sa javí problematické zisťovanie naplnenia podmienky súhlasu manželov a nositeľov rodičovských práv a povinností s právomocou súdu, v čase začatia konania (čl. 12 ods. 1 písm. b/). Konanie  je v zmysle slovenského právneho poriadku začaté dňom podania návrhu na súd. Ak návrh podáva len jeden z manželov, </w:t>
      </w:r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>súd nemá ako zistiť existenciu alebo neexistenciu súhlasu druhého manžela s právomocou súdu vo veci rodičovských práv a</w:t>
      </w:r>
      <w:r w:rsidR="00004014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>povinností</w:t>
      </w:r>
      <w:r w:rsidR="00004014" w:rsidRPr="0013383C">
        <w:rPr>
          <w:rFonts w:ascii="Times New Roman" w:hAnsi="Times New Roman" w:cs="Times New Roman"/>
          <w:sz w:val="24"/>
          <w:szCs w:val="24"/>
          <w:lang w:val="sk-SK"/>
        </w:rPr>
        <w:t>. To</w:t>
      </w:r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by podľa súdu </w:t>
      </w:r>
      <w:r w:rsidR="00004014" w:rsidRPr="0013383C">
        <w:rPr>
          <w:rFonts w:ascii="Times New Roman" w:hAnsi="Times New Roman" w:cs="Times New Roman"/>
          <w:sz w:val="24"/>
          <w:szCs w:val="24"/>
          <w:lang w:val="sk-SK"/>
        </w:rPr>
        <w:t>mohlo viesť</w:t>
      </w:r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 praktickej nerealizovateľnosti práva rozvádzajúcich sa manželov</w:t>
      </w:r>
      <w:r w:rsidR="00004014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uzavrieť dohodu</w:t>
      </w:r>
      <w:r w:rsidR="00D8423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 súdnej právomoci</w:t>
      </w:r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zmysle článku 12 Nariadenia Brusel </w:t>
      </w:r>
      <w:proofErr w:type="spellStart"/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201DE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6E6D8E5C" w14:textId="77777777" w:rsidR="00D6341D" w:rsidRPr="0013383C" w:rsidRDefault="00D634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47DDEB0" w14:textId="4BA62A1F" w:rsidR="00004014" w:rsidRPr="0013383C" w:rsidRDefault="00004014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Preto súd považuje za vhodný taký výklad ustanovenia článku 12 ods. 1 písm. b/ v zmysle ktorého „</w:t>
      </w:r>
      <w:r w:rsidRPr="0013383C">
        <w:rPr>
          <w:rFonts w:ascii="Times New Roman" w:hAnsi="Times New Roman" w:cs="Times New Roman"/>
          <w:i/>
          <w:sz w:val="24"/>
          <w:szCs w:val="24"/>
          <w:lang w:val="sk-SK"/>
        </w:rPr>
        <w:t>právomoci slovenského rozvodového súdu rozhodovať aj vo veci rodičovských práv a povinností (v súvislosti s rozvodom) nebráni ani prejav vôle odporcu, urobený až po doručení návrhu na začatie konania súdu, pokiaľ z neho možno či už výslovne alebo iným jednoznačným spôsobom vyvodiť súhlas s návrhom navrhovateľa, aby aj otázky úpravy výkonu rodičovských práv a povinností k maloletým deťom z manželstva prejednal a rozhodol ako celok rozvodový súd.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“ Krajský súd ešte pripomína že v takomto prípade je potrebné aby súd mal jasne preukázanú vôľu odporcu. </w:t>
      </w:r>
    </w:p>
    <w:p w14:paraId="6D918C75" w14:textId="7F92E1DB" w:rsidR="00DF60FF" w:rsidRPr="0013383C" w:rsidRDefault="00DF60FF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85CF25C" w14:textId="3E043906" w:rsidR="00382636" w:rsidRPr="0013383C" w:rsidRDefault="0013383C" w:rsidP="0013383C">
      <w:pPr>
        <w:pStyle w:val="Odsekzoznamu"/>
        <w:spacing w:after="0" w:line="240" w:lineRule="auto"/>
        <w:ind w:left="1776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- Občianskoprávne únosy</w:t>
      </w:r>
    </w:p>
    <w:p w14:paraId="56844D31" w14:textId="77777777" w:rsidR="00D6341D" w:rsidRPr="0013383C" w:rsidRDefault="00D6341D" w:rsidP="0013383C">
      <w:pPr>
        <w:pStyle w:val="Odsekzoznamu"/>
        <w:spacing w:after="0" w:line="240" w:lineRule="auto"/>
        <w:ind w:left="1776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32A24C0" w14:textId="16E433A0" w:rsidR="00D6341D" w:rsidRPr="0013383C" w:rsidRDefault="009E2A67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Osobitnou skupinou v rámci rozhodovania súdov v otázkach rodičovských práv a povinností sú tzv. návratové konania,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 konania o návrate neoprávnene odvedeného alebo zadržaného dieťaťa (občianskoprávne únosy). Špecifikom v rámci tejto skupiny rozhodnutí slovenských súdov je tiež zapojenie Ústavného súdu Slovenskej republiky. Účastníci týchto konaní, spravidla matka alebo otec dieťaťa, sa po vyčerpaní dostupných opravných prostriedkov</w:t>
      </w:r>
      <w:r w:rsidR="00C96E6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často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obracajú na Ústavný súd, od ktorého žiadajú ochranu ic</w:t>
      </w:r>
      <w:r w:rsidR="00C96E67" w:rsidRPr="0013383C">
        <w:rPr>
          <w:rFonts w:ascii="Times New Roman" w:hAnsi="Times New Roman" w:cs="Times New Roman"/>
          <w:sz w:val="24"/>
          <w:szCs w:val="24"/>
          <w:lang w:val="sk-SK"/>
        </w:rPr>
        <w:t>h ľudských práv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údajne porušených konaním všeobecných súdov.</w:t>
      </w:r>
      <w:r w:rsidR="000D4F45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9"/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25877E97" w14:textId="77777777" w:rsidR="00D6341D" w:rsidRPr="0013383C" w:rsidRDefault="00D634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FFE5E6" w14:textId="1863F474" w:rsidR="006E0C50" w:rsidRPr="0013383C" w:rsidRDefault="00D634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Ústavný súd Slovenskej republiky je oprávnený rozhodovať o sťažnostiach fyzických osôb alebo právnických osôb, ak namietajú porušenie svojich ľudských práv a slobôd zakotvených v Ústave Slovenskej republiky, alebo v medzinárodnej zmluve ktorou je Slovenská republika viazaná.</w:t>
      </w:r>
      <w:r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0"/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Najčastejšie namietaným zo strany sťažovateľov býva porušenie ich práva na ochranu pred neoprávneným zasahovaním do súkromného a rodinného života (čl. 19 ods. 2 Ústavy SR, čl. 8 Európskeho dohovoru o ochrane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ľ.p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 a 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z.s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.) a práva na spravodlivý proces (</w:t>
      </w:r>
      <w:r w:rsidR="006E0C5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najmä články 46 ods. 1 a 48 ods. 2 Ústavy SR a článok 6 Európskeho dohovoru o ochrane </w:t>
      </w:r>
      <w:proofErr w:type="spellStart"/>
      <w:r w:rsidR="006E0C50" w:rsidRPr="0013383C">
        <w:rPr>
          <w:rFonts w:ascii="Times New Roman" w:hAnsi="Times New Roman" w:cs="Times New Roman"/>
          <w:sz w:val="24"/>
          <w:szCs w:val="24"/>
          <w:lang w:val="sk-SK"/>
        </w:rPr>
        <w:t>ľ.p</w:t>
      </w:r>
      <w:proofErr w:type="spellEnd"/>
      <w:r w:rsidR="006E0C50" w:rsidRPr="0013383C">
        <w:rPr>
          <w:rFonts w:ascii="Times New Roman" w:hAnsi="Times New Roman" w:cs="Times New Roman"/>
          <w:sz w:val="24"/>
          <w:szCs w:val="24"/>
          <w:lang w:val="sk-SK"/>
        </w:rPr>
        <w:t>. a </w:t>
      </w:r>
      <w:proofErr w:type="spellStart"/>
      <w:r w:rsidR="006E0C50" w:rsidRPr="0013383C">
        <w:rPr>
          <w:rFonts w:ascii="Times New Roman" w:hAnsi="Times New Roman" w:cs="Times New Roman"/>
          <w:sz w:val="24"/>
          <w:szCs w:val="24"/>
          <w:lang w:val="sk-SK"/>
        </w:rPr>
        <w:t>z.s</w:t>
      </w:r>
      <w:proofErr w:type="spellEnd"/>
      <w:r w:rsidR="006E0C50" w:rsidRPr="0013383C">
        <w:rPr>
          <w:rFonts w:ascii="Times New Roman" w:hAnsi="Times New Roman" w:cs="Times New Roman"/>
          <w:sz w:val="24"/>
          <w:szCs w:val="24"/>
          <w:lang w:val="sk-SK"/>
        </w:rPr>
        <w:t>.). Často odkazovaným je ďalej tiež Dohovor o právach dieťaťa z roku 1989, najmä jeho články 3 ods. 1 a 2 a článok 12 ods. 1 a 2.</w:t>
      </w:r>
    </w:p>
    <w:p w14:paraId="19D31675" w14:textId="77777777" w:rsidR="006E0C50" w:rsidRPr="0013383C" w:rsidRDefault="006E0C50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22D2E23" w14:textId="0AD99448" w:rsidR="00613619" w:rsidRPr="0013383C" w:rsidRDefault="006E0C50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tak mal opakovane príležitosť vyjadriť sa ku konaniam o návrat neoprávnene odvedeného alebo zadržaného dieťaťa. I keď Ústavný súd </w:t>
      </w:r>
      <w:r w:rsidR="002C53F0" w:rsidRPr="0013383C">
        <w:rPr>
          <w:rFonts w:ascii="Times New Roman" w:hAnsi="Times New Roman" w:cs="Times New Roman"/>
          <w:sz w:val="24"/>
          <w:szCs w:val="24"/>
          <w:lang w:val="sk-SK"/>
        </w:rPr>
        <w:t>zdôrazňuje že jeho úlohou nie je zastupovať všeobecné súdy, ktorým predovšetkým prislúcha interpretácia a aplikácia zákonov</w:t>
      </w:r>
      <w:r w:rsidR="001540B4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C53F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 že nie je oprávnený preskúmavať a posudzovať ani právne názory všeobecných súdov</w:t>
      </w:r>
      <w:r w:rsidR="00C96E67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C53F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ani to ako posúdili skutkové otázky,</w:t>
      </w:r>
      <w:r w:rsidR="001540B4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1"/>
      </w:r>
      <w:r w:rsidR="002C53F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1361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vo svojej judikatúre sa často precízne zoberá otázkami ktoré sú v návratových konaniach kľúčové, ako je obvyklý pobyt dieťaťa, najlepší záujem dieťaťa, hodnotenie názoru dieťaťa, alebo účel návratového konania a kritériá ktoré by mali všeobecné súdy brať do úvahy pri </w:t>
      </w:r>
      <w:r w:rsidR="00832DB0" w:rsidRPr="0013383C">
        <w:rPr>
          <w:rFonts w:ascii="Times New Roman" w:hAnsi="Times New Roman" w:cs="Times New Roman"/>
          <w:sz w:val="24"/>
          <w:szCs w:val="24"/>
          <w:lang w:val="sk-SK"/>
        </w:rPr>
        <w:t>nariadení</w:t>
      </w:r>
      <w:r w:rsidR="0061361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C96E67" w:rsidRPr="0013383C">
        <w:rPr>
          <w:rFonts w:ascii="Times New Roman" w:hAnsi="Times New Roman" w:cs="Times New Roman"/>
          <w:sz w:val="24"/>
          <w:szCs w:val="24"/>
          <w:lang w:val="sk-SK"/>
        </w:rPr>
        <w:t>odmietnut</w:t>
      </w:r>
      <w:r w:rsidR="00613619" w:rsidRPr="0013383C">
        <w:rPr>
          <w:rFonts w:ascii="Times New Roman" w:hAnsi="Times New Roman" w:cs="Times New Roman"/>
          <w:sz w:val="24"/>
          <w:szCs w:val="24"/>
          <w:lang w:val="sk-SK"/>
        </w:rPr>
        <w:t>í návratu dieťaťa. Rozhodnutia Ústavného súdu zároveň v systéme práva Slovenskej republiky požívajú vysokú autoritu</w:t>
      </w:r>
      <w:r w:rsidR="00613619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2"/>
      </w:r>
      <w:r w:rsidR="0061361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0D4F45" w:rsidRPr="0013383C">
        <w:rPr>
          <w:rFonts w:ascii="Times New Roman" w:hAnsi="Times New Roman" w:cs="Times New Roman"/>
          <w:sz w:val="24"/>
          <w:szCs w:val="24"/>
          <w:lang w:val="sk-SK"/>
        </w:rPr>
        <w:t> sú tak spôsobilé vytvárať vodítka pre</w:t>
      </w:r>
      <w:r w:rsidR="0061361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rozhodovaciu činnosť všeobecných súdov. </w:t>
      </w:r>
    </w:p>
    <w:p w14:paraId="7BCD4402" w14:textId="77777777" w:rsidR="00C96E67" w:rsidRPr="0013383C" w:rsidRDefault="00C96E67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9FB0C63" w14:textId="1013F596" w:rsidR="000D4F45" w:rsidRPr="0013383C" w:rsidRDefault="002B6551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Uznesenie Ústavného súdu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2E74A4"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2E74A4" w:rsidRPr="0013383C">
        <w:rPr>
          <w:rFonts w:ascii="Times New Roman" w:hAnsi="Times New Roman" w:cs="Times New Roman"/>
          <w:sz w:val="24"/>
          <w:szCs w:val="24"/>
          <w:lang w:val="sk-SK"/>
        </w:rPr>
        <w:t>. zn.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3383C">
        <w:rPr>
          <w:rFonts w:ascii="Times New Roman" w:hAnsi="Times New Roman" w:cs="Times New Roman"/>
          <w:b/>
          <w:sz w:val="24"/>
          <w:szCs w:val="24"/>
          <w:lang w:val="sk-SK"/>
        </w:rPr>
        <w:t>I. ÚS 304/2018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 5.9.2018 predstavuje </w:t>
      </w:r>
      <w:r w:rsidR="00E26815" w:rsidRPr="0013383C">
        <w:rPr>
          <w:rFonts w:ascii="Times New Roman" w:hAnsi="Times New Roman" w:cs="Times New Roman"/>
          <w:sz w:val="24"/>
          <w:szCs w:val="24"/>
          <w:lang w:val="sk-SK"/>
        </w:rPr>
        <w:t>komplexné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zhrnutie princípov </w:t>
      </w:r>
      <w:r w:rsidR="00996CAE" w:rsidRPr="0013383C">
        <w:rPr>
          <w:rFonts w:ascii="Times New Roman" w:hAnsi="Times New Roman" w:cs="Times New Roman"/>
          <w:sz w:val="24"/>
          <w:szCs w:val="24"/>
          <w:lang w:val="sk-SK"/>
        </w:rPr>
        <w:t>rozhodovania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 návrate neoprávnene odvedeného alebo zadržaného dieťaťa</w:t>
      </w:r>
      <w:r w:rsidR="00996CA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0D4F45" w:rsidRPr="0013383C">
        <w:rPr>
          <w:rFonts w:ascii="Times New Roman" w:hAnsi="Times New Roman" w:cs="Times New Roman"/>
          <w:sz w:val="24"/>
          <w:szCs w:val="24"/>
          <w:lang w:val="sk-SK"/>
        </w:rPr>
        <w:t>V nasledujúcom texte ponúkame prehľad kľúčových záverov prezentovaných Ústavným súdom v tomto uznesení, d</w:t>
      </w:r>
      <w:r w:rsidR="00376454" w:rsidRPr="0013383C">
        <w:rPr>
          <w:rFonts w:ascii="Times New Roman" w:hAnsi="Times New Roman" w:cs="Times New Roman"/>
          <w:sz w:val="24"/>
          <w:szCs w:val="24"/>
          <w:lang w:val="sk-SK"/>
        </w:rPr>
        <w:t>oplnené o vybrané rozhodnutia Najvyššieho súdu SR a krajských súdov, alebo o iné rozhodnutia ÚS SR.</w:t>
      </w:r>
    </w:p>
    <w:p w14:paraId="08CAA6AD" w14:textId="77777777" w:rsidR="000D4F45" w:rsidRPr="0013383C" w:rsidRDefault="000D4F45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5DB7694" w14:textId="16F515AD" w:rsidR="00F866AA" w:rsidRPr="0013383C" w:rsidRDefault="007B6EA5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 súlade s horeuvedenými limitmi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preskúmavacej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činnosti ústavného súdu</w:t>
      </w:r>
      <w:r w:rsidR="007E5AD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0D4F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 úvode </w:t>
      </w:r>
      <w:r w:rsidR="000D4F45" w:rsidRPr="0013383C">
        <w:rPr>
          <w:rFonts w:ascii="Times New Roman" w:hAnsi="Times New Roman" w:cs="Times New Roman"/>
          <w:sz w:val="24"/>
          <w:szCs w:val="24"/>
          <w:lang w:val="sk-SK"/>
        </w:rPr>
        <w:t>predmetného</w:t>
      </w:r>
      <w:r w:rsidR="007E5AD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uznesenia </w:t>
      </w:r>
      <w:r w:rsidR="000D4F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pripomenul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že </w:t>
      </w:r>
      <w:r w:rsidR="007E5AD1" w:rsidRPr="0013383C">
        <w:rPr>
          <w:rFonts w:ascii="Times New Roman" w:hAnsi="Times New Roman" w:cs="Times New Roman"/>
          <w:sz w:val="24"/>
          <w:szCs w:val="24"/>
          <w:lang w:val="sk-SK"/>
        </w:rPr>
        <w:t>skutkové a právne závery všeobecného súdu je oprávnený preskúmavať len v tom rozsahu</w:t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E5AD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akom sú zjavne neodôvodnené, arbitrárne, alebo inak </w:t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>neudržateľné</w:t>
      </w:r>
      <w:r w:rsidR="007E5AD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 mali by za následok porušenie základného práva alebo slobody. Ústavný súd sa preto sústredil na posúdenie súladu procesného postupu a argumentácie všeobecných súdov s princípmi Haagskeho dohovoru o občianskoprávnych aspektoch medzinárodných únosov detí z r. 1980</w:t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Nariadenia Brusel </w:t>
      </w:r>
      <w:proofErr w:type="spellStart"/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>II.a</w:t>
      </w:r>
      <w:proofErr w:type="spellEnd"/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najmä jeho článku 11, v nadväznosti tiež na 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>judikatúru Európskeho súdu pre ľudské práva</w:t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> na ju</w:t>
      </w:r>
      <w:r w:rsidR="00022C22" w:rsidRPr="0013383C">
        <w:rPr>
          <w:rFonts w:ascii="Times New Roman" w:hAnsi="Times New Roman" w:cs="Times New Roman"/>
          <w:sz w:val="24"/>
          <w:szCs w:val="24"/>
          <w:lang w:val="sk-SK"/>
        </w:rPr>
        <w:t>dikatúr</w:t>
      </w:r>
      <w:r w:rsidR="00996CAE" w:rsidRPr="0013383C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022C2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súdov</w:t>
      </w:r>
      <w:r w:rsidR="006C4AE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zmluvných štátov</w:t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Haagskeho dohovoru z r. 1980</w:t>
      </w:r>
      <w:r w:rsidR="006C4AE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publikovanú v databáze </w:t>
      </w:r>
      <w:r w:rsidR="00022C22" w:rsidRPr="0013383C">
        <w:rPr>
          <w:rFonts w:ascii="Times New Roman" w:hAnsi="Times New Roman" w:cs="Times New Roman"/>
          <w:sz w:val="24"/>
          <w:szCs w:val="24"/>
          <w:lang w:val="sk-SK"/>
        </w:rPr>
        <w:t>INCADAT</w:t>
      </w:r>
      <w:r w:rsidR="006C4AE7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3"/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i vlastnú predošlú judikatúru. </w:t>
      </w:r>
      <w:r w:rsidR="00996CA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3878ED8" w14:textId="77777777" w:rsidR="00F866AA" w:rsidRPr="0013383C" w:rsidRDefault="00F866A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A596D6" w14:textId="77777777" w:rsidR="00F866AA" w:rsidRPr="0013383C" w:rsidRDefault="00F866AA" w:rsidP="00133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a) najlepší záujem dieťaťa</w:t>
      </w:r>
    </w:p>
    <w:p w14:paraId="60EB96C1" w14:textId="03518271" w:rsidR="00022C22" w:rsidRPr="0013383C" w:rsidRDefault="00FD5C97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konštatoval, že prvoradým hľadiskom pri akejkoľvek činnosti týkajúcej sa detí, či už je 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>uskutočňovaná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verejnými alebo súkromnými zariadeniami sociálnej starostlivosti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>, súdmi, správnymi alebo zákonodarnými orgánmi, musí byť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prioritou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najlepší záujem dieťaťa. Najlepší záujem dieťaťa sa pritom skladá z dvoch zložiek, na jednej strane je to zachovávanie väzieb dieťaťa s jeho rodinou, na druhej strane zabezpečenie vývoja dieťaťa v zdravom prostredí. Rodič, ktorý neoprávnene premiestni dieťa z miesta jeho obvyklého pobytu, zasiahne nielen do práv druhého rodiča, ale aj do práva samotného dieťaťa. Z rodičovstva podľa Ústavného súdu vyplývajú nielen práva, ale aj povinnosti</w:t>
      </w:r>
      <w:r w:rsidR="00022C2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(body 9.1 a 9.2 uznesenia</w:t>
      </w:r>
      <w:r w:rsidR="000028B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ÚS</w:t>
      </w:r>
      <w:r w:rsidR="00022C22" w:rsidRPr="0013383C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CB1E8A9" w14:textId="77777777" w:rsidR="00022C22" w:rsidRPr="0013383C" w:rsidRDefault="00022C2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F96D28C" w14:textId="77777777" w:rsidR="00022C22" w:rsidRPr="0013383C" w:rsidRDefault="00022C22" w:rsidP="00133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b) účel návratového konania</w:t>
      </w:r>
    </w:p>
    <w:p w14:paraId="04CF73C2" w14:textId="16270CD3" w:rsidR="00C96E67" w:rsidRPr="0013383C" w:rsidRDefault="00022C2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ďalej upozornil že účelom konania o navrátenie dieťaťa neoprávnene premiestneného z miesta jeho obvyklého pobytu je zabezpečiť aby o dieťati rozhodovali súdy štátu jeho obvyklého pobytu. Rozhodnutie súdu o navrátení dieťaťa do miesta jeho obvyklého pobytu nie je rozhodnutím o opatrovníckych právach k dieťaťu ani rozhodnutím o návrate dieťaťa konkrétnej osobe, resp. o oddelení dieťaťa od inej konkrétnej osoby. Konanie o navrátení dieťaťa má tiež pozbaviť únoscu výhod, ktoré neoprávneným premiestnením dieťaťa získal a tak pôsobiť tiež preventívne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t.</w:t>
      </w:r>
      <w:r w:rsidR="000028B8" w:rsidRPr="0013383C">
        <w:rPr>
          <w:rFonts w:ascii="Times New Roman" w:hAnsi="Times New Roman" w:cs="Times New Roman"/>
          <w:sz w:val="24"/>
          <w:szCs w:val="24"/>
          <w:lang w:val="sk-SK"/>
        </w:rPr>
        <w:t>j</w:t>
      </w:r>
      <w:proofErr w:type="spellEnd"/>
      <w:r w:rsidR="000028B8" w:rsidRPr="0013383C">
        <w:rPr>
          <w:rFonts w:ascii="Times New Roman" w:hAnsi="Times New Roman" w:cs="Times New Roman"/>
          <w:sz w:val="24"/>
          <w:szCs w:val="24"/>
          <w:lang w:val="sk-SK"/>
        </w:rPr>
        <w:t>. odrádzať rodičov od takéhoto konania a motivovať ich aby svoje spory o opatrovnícke právo riešili v krajine pôvodného obvyklého pobytu dieťaťa (bod 10 uznesenia ÚS).</w:t>
      </w:r>
      <w:r w:rsidR="00F866A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323C175" w14:textId="25D9417A" w:rsidR="000028B8" w:rsidRPr="0013383C" w:rsidRDefault="000028B8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19DBD3" w14:textId="5BFD9873" w:rsidR="000028B8" w:rsidRPr="0013383C" w:rsidRDefault="000028B8" w:rsidP="00133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c) neoprávnenosť premiestnenia dieťaťa</w:t>
      </w:r>
    </w:p>
    <w:p w14:paraId="4AFBE21A" w14:textId="247B27D6" w:rsidR="000028B8" w:rsidRPr="0013383C" w:rsidRDefault="000028B8" w:rsidP="001338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i) obvyklý pobyt dieťaťa</w:t>
      </w:r>
    </w:p>
    <w:p w14:paraId="23B413A9" w14:textId="368F8F54" w:rsidR="000028B8" w:rsidRPr="0013383C" w:rsidRDefault="000028B8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Ako upresnil Ústavný súd, konštatovanie neoprávnenosti premiestnenia dieťaťa vyžaduje správne ustálenie obvyklého pobytu maloletého dieťaťa.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Pri výklade tohto pojmu je potrebné, v prípade členských štátov EÚ vychádzať z judikatúry Súdneho dvora EÚ, menovite ÚS odkázal na rozsudky “</w:t>
      </w:r>
      <w:r w:rsidR="003F1045" w:rsidRPr="0013383C">
        <w:rPr>
          <w:rFonts w:ascii="Times New Roman" w:hAnsi="Times New Roman" w:cs="Times New Roman"/>
          <w:i/>
          <w:sz w:val="24"/>
          <w:szCs w:val="24"/>
          <w:lang w:val="sk-SK"/>
        </w:rPr>
        <w:t>A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” C-523/07, </w:t>
      </w:r>
      <w:proofErr w:type="spellStart"/>
      <w:r w:rsidR="003F1045" w:rsidRPr="0013383C">
        <w:rPr>
          <w:rFonts w:ascii="Times New Roman" w:hAnsi="Times New Roman" w:cs="Times New Roman"/>
          <w:i/>
          <w:sz w:val="24"/>
          <w:szCs w:val="24"/>
          <w:lang w:val="sk-SK"/>
        </w:rPr>
        <w:t>Mercredi</w:t>
      </w:r>
      <w:proofErr w:type="spellEnd"/>
      <w:r w:rsidR="003F1045" w:rsidRPr="0013383C">
        <w:rPr>
          <w:rFonts w:ascii="Times New Roman" w:hAnsi="Times New Roman" w:cs="Times New Roman"/>
          <w:i/>
          <w:sz w:val="24"/>
          <w:szCs w:val="24"/>
          <w:lang w:val="sk-SK"/>
        </w:rPr>
        <w:t xml:space="preserve"> proti </w:t>
      </w:r>
      <w:proofErr w:type="spellStart"/>
      <w:r w:rsidR="003F1045" w:rsidRPr="0013383C">
        <w:rPr>
          <w:rFonts w:ascii="Times New Roman" w:hAnsi="Times New Roman" w:cs="Times New Roman"/>
          <w:i/>
          <w:sz w:val="24"/>
          <w:szCs w:val="24"/>
          <w:lang w:val="sk-SK"/>
        </w:rPr>
        <w:t>Chaffe</w:t>
      </w:r>
      <w:proofErr w:type="spellEnd"/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C-497/10 a </w:t>
      </w:r>
      <w:r w:rsidR="003F1045" w:rsidRPr="0013383C">
        <w:rPr>
          <w:rFonts w:ascii="Times New Roman" w:hAnsi="Times New Roman" w:cs="Times New Roman"/>
          <w:i/>
          <w:sz w:val="24"/>
          <w:szCs w:val="24"/>
          <w:lang w:val="sk-SK"/>
        </w:rPr>
        <w:t>C. proti M.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C-376/14 PPU.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94261" w:rsidRPr="0013383C">
        <w:rPr>
          <w:rFonts w:ascii="Times New Roman" w:hAnsi="Times New Roman" w:cs="Times New Roman"/>
          <w:sz w:val="24"/>
          <w:szCs w:val="24"/>
          <w:lang w:val="sk-SK"/>
        </w:rPr>
        <w:t>Obvyklý pobyt vo všeobecnosti vyjadruje takú kvalitu pobytu, pri ktorej sú väzby osoby vo vzťahu k 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>miestu</w:t>
      </w:r>
      <w:r w:rsidR="0019426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kde sa zdržiava trvalé. 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Takýto pobyt musí vykazovať určitú stabilitu alebo 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pravidelnosť. V tejto súvislosti je vo všeobecnosti potrebné vychádzať z rodinných a sociálnych 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väzieb</w:t>
      </w:r>
      <w:r w:rsidR="003F104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dieťaťa v danom členskom štáte. Prostredím maloletého dieťaťa je v podstate jeho rodina, ktorá je determinovaná referenčnou osobou alebo osobami. </w:t>
      </w:r>
      <w:r w:rsidR="0019426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</w:t>
      </w:r>
      <w:r w:rsidR="00724C8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tiež </w:t>
      </w:r>
      <w:r w:rsidR="00194261" w:rsidRPr="0013383C">
        <w:rPr>
          <w:rFonts w:ascii="Times New Roman" w:hAnsi="Times New Roman" w:cs="Times New Roman"/>
          <w:sz w:val="24"/>
          <w:szCs w:val="24"/>
          <w:lang w:val="sk-SK"/>
        </w:rPr>
        <w:t>poukázal na to, že prax justičných orgánov zmluvných štátov Haagskeho dohovoru z r. 1980 vychádza pri zisťovaní obvyklého pobytu z anal</w:t>
      </w:r>
      <w:r w:rsidR="00FF50F3" w:rsidRPr="0013383C">
        <w:rPr>
          <w:rFonts w:ascii="Times New Roman" w:hAnsi="Times New Roman" w:cs="Times New Roman"/>
          <w:sz w:val="24"/>
          <w:szCs w:val="24"/>
          <w:lang w:val="sk-SK"/>
        </w:rPr>
        <w:t>ýzy</w:t>
      </w:r>
      <w:r w:rsidR="0019426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okolností týkajúcich sa dieťaťa (objektívne faktory preukazujúce kde je centrum života dieťaťa a kde dieťa zvyčajne trávi väčšinu svojho času) a zároveň prihliada na posúdenie spoločného zámeru rodičov usadiť sa s dieťaťom v určitom štáte</w:t>
      </w:r>
      <w:r w:rsidR="00724C8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(bod 16.2.1 Uznesenia ÚS)</w:t>
      </w:r>
      <w:r w:rsidR="00194261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2F4C3A44" w14:textId="77777777" w:rsidR="00345681" w:rsidRPr="0013383C" w:rsidRDefault="00345681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D7D586E" w14:textId="764D1AF9" w:rsidR="00C35926" w:rsidRPr="0013383C" w:rsidRDefault="00723CE0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Následne sa Ústavný súd vyjadril k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postupu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všeobecných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súdov proti rozhodnutiu ktorých smerovala ústavná sťažnosť. Sťažovateľ – otec maloletých detí a únosca, spochybňoval existenciu obvyklého pobytu detí v Rakúsku. Namietal že na území Rakúska rodina žila len z ekonomických dôvodov, keďže tam sa rodičom podarilo zakúpiť si rodinný dom za nižšiu cenu ako v Slovenskej republike.</w:t>
      </w:r>
      <w:r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4"/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Pritom ale rodičia pravidelne navštevovali </w:t>
      </w:r>
      <w:r w:rsidR="002566A4" w:rsidRPr="0013383C">
        <w:rPr>
          <w:rFonts w:ascii="Times New Roman" w:hAnsi="Times New Roman" w:cs="Times New Roman"/>
          <w:sz w:val="24"/>
          <w:szCs w:val="24"/>
          <w:lang w:val="sk-SK"/>
        </w:rPr>
        <w:t>starých rodičov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SR a v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SR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tiež realizovali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 mimoškolské aktivity. </w:t>
      </w:r>
      <w:r w:rsidR="00C35926" w:rsidRPr="0013383C">
        <w:rPr>
          <w:rFonts w:ascii="Times New Roman" w:hAnsi="Times New Roman" w:cs="Times New Roman"/>
          <w:sz w:val="24"/>
          <w:szCs w:val="24"/>
          <w:lang w:val="sk-SK"/>
        </w:rPr>
        <w:t>Všeobecné súdy</w:t>
      </w:r>
      <w:r w:rsidR="002566A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SR rozhodujúce v návratovom konaní však dospeli k názoru že obvyklým pobytom maloletých detí je Rakúsko. Poukázali na to, že maloleté deti od narodenia vyrastali v dome svojich rodičov v Rakúsku, navštevovali tu predškolské a školské zariadenie s vyučovacím jazykom nemeckým a mali tu prirodzene vytvorené centrum svojho sociálneho života. Skutočnosť že maloleté deti spolu s rodičmi zdieľali aj slovenské prostr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edie, kultúru a tradície, či to</w:t>
      </w:r>
      <w:r w:rsidR="002566A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že  na Slovensku absolvovali zdravotné vyšetrenia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2566A4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617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nestačí na spochybnenie existencie ich obvyklého pobytu v Slovenskej republike. </w:t>
      </w:r>
    </w:p>
    <w:p w14:paraId="26CE1A6D" w14:textId="77777777" w:rsidR="00C35926" w:rsidRPr="0013383C" w:rsidRDefault="00C3592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BB40EEE" w14:textId="5477FE51" w:rsidR="00723CE0" w:rsidRPr="0013383C" w:rsidRDefault="00C3592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považoval stanovisko 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všeobecných súdov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za dobre vyargumentované, založené nielen na výpovediach rodičov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ale i na vecných zisteniach vyplývajúcich z dokazovania realizovaného v súlade s procesnými pr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edpismi. Ústavný súd pripomenul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že obvyklý pobyt je miestom kde má dieťa rodinné a sociálne prostredie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 ustáleným zámerom zotrvať na danom mieste, s čím nie je v rozpore ak sa dieťa na určitú časovo obmedz</w:t>
      </w:r>
      <w:r w:rsidR="00CE1F9C" w:rsidRPr="0013383C">
        <w:rPr>
          <w:rFonts w:ascii="Times New Roman" w:hAnsi="Times New Roman" w:cs="Times New Roman"/>
          <w:sz w:val="24"/>
          <w:szCs w:val="24"/>
          <w:lang w:val="sk-SK"/>
        </w:rPr>
        <w:t>enú dobu zdržuje na inom mieste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napríklad za účelom vzdelávania, zo zdravotných dôvodov, alebo pre výkon inej záujmovej alebo voľnočasovej činnosti. Ústavný súd tiež vyslovene uviedol že deti vo veku 7 a 10 rokov možno považovať za kategóriu osôb, pre ktoré je významné prostredie ich rodičov (body 16.2.3 až 16.2.5). </w:t>
      </w:r>
    </w:p>
    <w:p w14:paraId="5EE3AF64" w14:textId="77777777" w:rsidR="00C35926" w:rsidRPr="0013383C" w:rsidRDefault="00C3592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3814FDB" w14:textId="4D105465" w:rsidR="00C35926" w:rsidRPr="0013383C" w:rsidRDefault="007C4E18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 judikatúre slovenských súdov sa však môžeme stretnúť i s komplikovanejšími prípadmi posúdenia obvyklého pobytu maloletých detí. Napríklad </w:t>
      </w:r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 situácii o ktorej rozhodoval Najvyšší súd SR vo svojom uznesení z 30.4. 2013 </w:t>
      </w:r>
      <w:proofErr w:type="spellStart"/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zn. 6 </w:t>
      </w:r>
      <w:proofErr w:type="spellStart"/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>Cdo</w:t>
      </w:r>
      <w:proofErr w:type="spellEnd"/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1/2013.</w:t>
      </w:r>
      <w:r w:rsidR="00E776A3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5"/>
      </w:r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Deti taliansko-slovenského páru (deti mali oboje talian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>ske i slovenské občianstvo) žili</w:t>
      </w:r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po dobu cca 4 roky striedavo v Taliansku i na Slovensku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t>, spôsobom akceptovaným v podstate oboma rodičmi</w:t>
      </w:r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>. Krajský súd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>, rozhodujúci o odvolaní voči rozhodnutiu prvostupňového súdu o návrate neoprávnene odvedeného dieťaťa</w:t>
      </w:r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prišiel k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E776A3" w:rsidRPr="0013383C">
        <w:rPr>
          <w:rFonts w:ascii="Times New Roman" w:hAnsi="Times New Roman" w:cs="Times New Roman"/>
          <w:sz w:val="24"/>
          <w:szCs w:val="24"/>
          <w:lang w:val="sk-SK"/>
        </w:rPr>
        <w:t>záveru že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deti vykazujú takú mieru integrácie do 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sociálneho a rodinného prostredia, tak v Taliansku ako i na Slovensku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>že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nemožno ustáliť že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ich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obvyklý pobyt bol bezprostredne pred neoprávneným premiestnením v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t>Taliansku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>. P</w:t>
      </w:r>
      <w:r w:rsidR="00F64A58" w:rsidRPr="0013383C">
        <w:rPr>
          <w:rFonts w:ascii="Times New Roman" w:hAnsi="Times New Roman" w:cs="Times New Roman"/>
          <w:sz w:val="24"/>
          <w:szCs w:val="24"/>
          <w:lang w:val="sk-SK"/>
        </w:rPr>
        <w:t>reto ani nemohlo dôjsť k ich neoprávnenému premiestneniu z tohto štátu. Podľa krajského súdu mali talianske a slovenské orgány rovnako „blízko“ k maloletým deťom a sú rovnako v pozícii čo najobjektív</w:t>
      </w:r>
      <w:r w:rsidR="007E22DB" w:rsidRPr="0013383C">
        <w:rPr>
          <w:rFonts w:ascii="Times New Roman" w:hAnsi="Times New Roman" w:cs="Times New Roman"/>
          <w:sz w:val="24"/>
          <w:szCs w:val="24"/>
          <w:lang w:val="sk-SK"/>
        </w:rPr>
        <w:t>nejšie rozhodnúť vo veci samej.</w:t>
      </w:r>
    </w:p>
    <w:p w14:paraId="2D9415AF" w14:textId="77777777" w:rsidR="007E22DB" w:rsidRPr="0013383C" w:rsidRDefault="007E22D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4A38E42" w14:textId="4A3D7720" w:rsidR="007E22DB" w:rsidRPr="0013383C" w:rsidRDefault="007E22D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Najvyšší súd odmietol argumentáciu krajského súdu ako logicky rozpornú. Závery krajského súdu totiž rovnakou mierou odôvodňujú spochybnenie existencie obvyklého pobytu detí 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tak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 Taliansku, ako i na Slovensku. Najvyšší súd poukázal menovite najmä na článok 2 ods. 11 Nariadenia Brusel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v ktorom je na účely uplatnenia 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ariadenia definovaný pojem „neoprávnené premiestnenie alebo zadržanie dieťaťa“. V nadväz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>nosti na ustanovenia nariadenia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vyžaduje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záver o neoprávnenom premiestnení detí súčasné splnenie troch predpokladov: a) existenciu opatrovníckeho práva, b) výkon opatrovníckeho práva v čase p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>remiestnenia, a to buď spoločne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alebo samostatne a c) porušenie opatrovníckeho práva.</w:t>
      </w:r>
      <w:r w:rsidR="009635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Najvyšší súd pripomenul že v konaní o návrate dieťaťa nevznikli žiadne pochybnosti o tom že obaja rodičia boli v čase premiestnenia nositeľmi opatrovníckeho práva, že toto právo vykonávali spoločne a preto ani jeden z nich nemohol rozhodnúť o mieste pobytu detí bez súhlasu druhého. Matka teda porušila opatrovnícke právo otca, keď bez jeho súhlasu odišla z Talianska, ktoré bolo posledným rodičmi zhodne určeným miestom bydliska detí, a zotrvala s deťmi v Slovenskej republike. 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5B661B19" w14:textId="70236B2A" w:rsidR="009E2A67" w:rsidRPr="0013383C" w:rsidRDefault="00D634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3925E0AC" w14:textId="0DBBB28E" w:rsidR="009E2A67" w:rsidRPr="0013383C" w:rsidRDefault="00194261" w:rsidP="001338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723CE0" w:rsidRPr="0013383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) porušenie opatrovníckeho práva</w:t>
      </w:r>
    </w:p>
    <w:p w14:paraId="6D579EAD" w14:textId="15A65CDA" w:rsidR="00FB1862" w:rsidRPr="0013383C" w:rsidRDefault="00CE1F9C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Ústavný súd sa vo svojom uznesení z 5.9.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2018 venoval tiež 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>existencii porušenia opatrovníckeho práva, ktoré je ďalším kritériom pre posúdenie neoprávnenosti premiestnenia alebo zadržania dieťaťa</w:t>
      </w:r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>člán</w:t>
      </w:r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>k 3 Haagskeho dohovoru o občianskoprávnych aspektoch medzinárodných únosov detí, člán</w:t>
      </w:r>
      <w:r w:rsidR="00D15480" w:rsidRPr="0013383C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k 2 ods. 11 Nariadenia Brusel </w:t>
      </w:r>
      <w:proofErr w:type="spellStart"/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>. Ústavný súd pripomenul že</w:t>
      </w:r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tak Haagsky dohovor, ako i Nariadenie Brusel </w:t>
      </w:r>
      <w:proofErr w:type="spellStart"/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vyžadujú aby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vzťah ktorý je premiestnením alebo zadržaním dieťaťa porušený</w:t>
      </w:r>
      <w:r w:rsidR="0032149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spĺňal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dve požiadavky: právnu a faktickú. Právny aspekt spočíva v existencii opatrovníckych práv k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8111B2" w:rsidRPr="0013383C">
        <w:rPr>
          <w:rFonts w:ascii="Times New Roman" w:hAnsi="Times New Roman" w:cs="Times New Roman"/>
          <w:sz w:val="24"/>
          <w:szCs w:val="24"/>
          <w:lang w:val="sk-SK"/>
        </w:rPr>
        <w:t>dieťaťu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>, faktický v skutočnom výkone týchto opatrovníckych práv. Pojem „opatrovnícke právo“ je pritom v zmysle judikatúry Súdneho dvora EÚ potrebné považovať za pojem autonómny vo vzťahu k právu členských štátov Európskej únie.</w:t>
      </w:r>
      <w:r w:rsidR="00FB1862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B1862" w:rsidRPr="0013383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16"/>
      </w:r>
      <w:r w:rsidR="00FB186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932560A" w14:textId="77777777" w:rsidR="00FB1862" w:rsidRPr="0013383C" w:rsidRDefault="00FB186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BEF6180" w14:textId="7F5A25A9" w:rsidR="004C001E" w:rsidRPr="0013383C" w:rsidRDefault="00FB186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Prvostupňový súd v tejto súvislosti zistil že obaja rodičia boli v čase únosu nositeľmi takto definovaného opatrovníckeho práva, a teda otec (únosca) nemal právo bez súhlasu matky rozhodnúť o zmene miesta pobytu maloletých detí. 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Otec detí v ústavnej sťažnosti 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namietal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kvalitu výkonu opatrovníckeho práva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zo strany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matky.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Ústavný súd konštatoval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že posúdenie kvality výkonu opatrovníckeho práva prekračuje rámec konania o návrat a preto sa všeobecné súdy nemali povinnosť touto otázkou zaoberať (body 16.3 až 16.10 uznesenia ÚS SR z 5.9.2018). </w:t>
      </w:r>
      <w:r w:rsidR="004C001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E52CA72" w14:textId="77777777" w:rsidR="00CE1F9C" w:rsidRPr="0013383C" w:rsidRDefault="00CE1F9C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6A0937E" w14:textId="61CA34D9" w:rsidR="00194261" w:rsidRPr="0013383C" w:rsidRDefault="00194261" w:rsidP="00133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d) výnimky z</w:t>
      </w:r>
      <w:r w:rsidR="00832DB0" w:rsidRPr="0013383C">
        <w:rPr>
          <w:rFonts w:ascii="Times New Roman" w:hAnsi="Times New Roman" w:cs="Times New Roman"/>
          <w:sz w:val="24"/>
          <w:szCs w:val="24"/>
          <w:lang w:val="sk-SK"/>
        </w:rPr>
        <w:t> povinnosti nariadiť návrat dieťaťa</w:t>
      </w:r>
    </w:p>
    <w:p w14:paraId="341AA026" w14:textId="79A57BBD" w:rsidR="00D002EF" w:rsidRPr="0013383C" w:rsidRDefault="007B27A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Žiadosť o návrat dieťaťa 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bola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v 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prípade ktorým sa zaoberal Ústavný súd 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uznesení z 5.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9.</w:t>
      </w:r>
      <w:r w:rsidR="00440B37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2018 podaná v lehote do jedného roka od neoprávneného premiestnenia. Ako konštatoval Ústavný súd, šlo teda o prípad keď je súd členského štátu povinný návrat dieťaťa nariadiť, okrem ak je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daná niektorá z výnimiek z tejto povinnosti v zmysle článku 13 alebo článku 20 Haagskeho dohovoru z r. 1980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</w:t>
      </w:r>
      <w:r w:rsidR="004109C5" w:rsidRPr="0013383C">
        <w:rPr>
          <w:rFonts w:ascii="Times New Roman" w:hAnsi="Times New Roman" w:cs="Times New Roman"/>
          <w:sz w:val="24"/>
          <w:szCs w:val="24"/>
          <w:lang w:val="sk-SK"/>
        </w:rPr>
        <w:t>body 17.1 až 17.8 uznesenia Ústavného súdu)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D313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FEDE8C0" w14:textId="77777777" w:rsidR="00D002EF" w:rsidRPr="0013383C" w:rsidRDefault="00D002EF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DC68EB6" w14:textId="6755D91D" w:rsidR="00800AF6" w:rsidRPr="0013383C" w:rsidRDefault="00D002EF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8D1FC2" w:rsidRPr="0013383C">
        <w:rPr>
          <w:rFonts w:ascii="Times New Roman" w:hAnsi="Times New Roman" w:cs="Times New Roman"/>
          <w:sz w:val="24"/>
          <w:szCs w:val="24"/>
          <w:lang w:val="sk-SK"/>
        </w:rPr>
        <w:t>etailne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jšie sa ÚS</w:t>
      </w:r>
      <w:r w:rsidR="008D1FC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venoval najmä posudzovaniu výnimky z povinnosti návratu dieťaťa založenej na </w:t>
      </w:r>
      <w:r w:rsidR="008D1FC2" w:rsidRPr="0013383C">
        <w:rPr>
          <w:rFonts w:ascii="Times New Roman" w:hAnsi="Times New Roman" w:cs="Times New Roman"/>
          <w:i/>
          <w:sz w:val="24"/>
          <w:szCs w:val="24"/>
          <w:lang w:val="sk-SK"/>
        </w:rPr>
        <w:t>existencii vážneho nebezpečenstva že návrat by dieťa vystavil fyzickej alebo duševnej ujme, alebo ho inak priviedol do neznesiteľnej situácie</w:t>
      </w:r>
      <w:r w:rsidR="008D1FC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– článok 13 písm. b) Haagskeho dohovoru.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Práve existenciu takejto prekážky namietol sťažovateľ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otec maloletých detí, v ústavnej sťažnosti.</w:t>
      </w:r>
      <w:r w:rsidR="008D1FC2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6303E" w:rsidRPr="0013383C">
        <w:rPr>
          <w:rFonts w:ascii="Times New Roman" w:hAnsi="Times New Roman" w:cs="Times New Roman"/>
          <w:sz w:val="24"/>
          <w:szCs w:val="24"/>
          <w:lang w:val="sk-SK"/>
        </w:rPr>
        <w:t>Ústavný súd zdôraznil že túto výnimku je potrebné vykladať reštriktívne a upozornil na dôvodovú správu k Haagskemu dohovoru z r. 1980, odporúčania špeciálnych komisií a tiež judikatúru súdov zmluvných štátov dostupnú v databáze INCADAT</w:t>
      </w:r>
      <w:r w:rsidR="004C42FB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>Z judikatúry súdov zmluvných štátov vyplýva že predmetnú výnimku uplatňujú v takých prípadoch keď by dieťa po návrate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až do skončenia konania o opatrovníckych právach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bolo vystavené objektívnemu nebezpečenstvu, ako je napr. hladomor, občianska vojna, epidémia, alebo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by</w:t>
      </w:r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správanie osoby požadujúcej návrat by mohlo dieťa vystaviť nebezpečenstvu, napr. zanedbávanie dieťaťa alebo zneužívanie dieťaťa a pod. (bod 17.4.1.1 a </w:t>
      </w:r>
      <w:proofErr w:type="spellStart"/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>nasl</w:t>
      </w:r>
      <w:proofErr w:type="spellEnd"/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83165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0AF6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uznesenia ÚS). </w:t>
      </w:r>
    </w:p>
    <w:p w14:paraId="530F783B" w14:textId="77777777" w:rsidR="00800AF6" w:rsidRPr="0013383C" w:rsidRDefault="00800AF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C2E8C83" w14:textId="65DDE70A" w:rsidR="008D1FC2" w:rsidRPr="0013383C" w:rsidRDefault="00800AF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Obdobne i</w:t>
      </w:r>
      <w:r w:rsidR="009D373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 ďalšia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domáca judikatúra uvádza že ujmou ktorá odôvodňuje použitie výnimky v článku 13 písm. b) nemôžu byť napríklad negatívne dopady rodičovských nezhôd na dieťa. Táto výnimka neposkytuje súdu rozhodujúcemu vo veci návratu možnosť zvažovať kde bude dieťa spokojnejšie a šťastnejšie (Uznesenie Najvyššieho súdu SR z 27. 4. 2015,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zn. 3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Cdo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176/2015). Obdobne tiež druhý senát Ústavného súdu v uznesení z 26. 4. 2017</w:t>
      </w:r>
      <w:r w:rsidR="00831655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sp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>. zn. II. ÚS 282/2017</w:t>
      </w:r>
      <w:r w:rsidR="00831655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judikoval že „vážne nebezpečenstvo“ na účely odmietnutia návratu dieťaťa musí spočívať v reálne hroziacom, nie teda všeobecnom alebo potencionálnom nebezpečenstve, a musí mať intenzitu neznesiteľnej situácie. Môže to byť napríklad ohrozenie mravného vývoja dieťaťa, alebo nedostatok základných životných potrieb dieťaťa, ako je strava, ošatenie, bývanie. 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</w:p>
    <w:p w14:paraId="1A456CA8" w14:textId="77777777" w:rsidR="004C42FB" w:rsidRPr="0013383C" w:rsidRDefault="004C42F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0BA4029" w14:textId="40B64DEA" w:rsidR="00831655" w:rsidRPr="0013383C" w:rsidRDefault="00B56691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Ústavný súd ďalej skúmal súladnosť argumentácie všeobecných súdov s 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horeuvednými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B50D0" w:rsidRPr="0013383C">
        <w:rPr>
          <w:rFonts w:ascii="Times New Roman" w:hAnsi="Times New Roman" w:cs="Times New Roman"/>
          <w:sz w:val="24"/>
          <w:szCs w:val="24"/>
          <w:lang w:val="sk-SK"/>
        </w:rPr>
        <w:t>princípmi. Krajský súd napríklad uviedol že dôkazné bremeno pre preukázanie existencie vážneho nebezpečenstva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B50D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hroziaceho dieťaťu v prípade návratu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B50D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nesie únosca. Nariadenie Brusel </w:t>
      </w:r>
      <w:proofErr w:type="spellStart"/>
      <w:r w:rsidR="004B50D0"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="004B50D0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porovnaní s článkom 13 písm. b) stanovuje prísnejšie podmienky pre nenariadenie návratu. Možnosť zohľadnenia fyzickej alebo duševnej ujmy zužuje len na tie prípady keď dieťaťu nemožno poskytnúť v štáte jeho predchádzajúceho obvyklého pobytu primeranú ochranu. Pritom nestačí ak v štáte pôvodného obvyklého pobytu dieťaťa postup na ochranu dieťaťa existuje, ale musí byť preukázané že orgány v členskom štáte pôvodu prijali konkrétne opatrenia na ochranu daného dieťaťa. V rámci uvedeného konania neboli preukázané žiadne skutočnosti ktoré by mohli eliminovať nariadenie návratu maloletých detí z dôvodu nevhodných sociálnych podmienok alebo nevhodného výchovného prostredia, prípadne iného zlého zaobchádzania s deťmi. </w:t>
      </w:r>
    </w:p>
    <w:p w14:paraId="56AA8A29" w14:textId="5FD63B19" w:rsidR="004B50D0" w:rsidRPr="0013383C" w:rsidRDefault="004B50D0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B95B7D6" w14:textId="4BB66C95" w:rsidR="0058068C" w:rsidRPr="0013383C" w:rsidRDefault="004B50D0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Krajský súd tiež poukázal na skutočnosť, že v Rakúsku je vedené konanie o opatrovníckych právach k maloletým deťom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>. Ktorý z rodičov a v akej miere bude po rozvode ich manželstva vykonávať osobnú starostlivosť o deti rozhodne p</w:t>
      </w:r>
      <w:r w:rsidR="00D54CE2" w:rsidRPr="0013383C">
        <w:rPr>
          <w:rFonts w:ascii="Times New Roman" w:hAnsi="Times New Roman" w:cs="Times New Roman"/>
          <w:sz w:val="24"/>
          <w:szCs w:val="24"/>
          <w:lang w:val="sk-SK"/>
        </w:rPr>
        <w:t>ríslušný,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už konajúci</w:t>
      </w:r>
      <w:r w:rsidR="00D54CE2" w:rsidRPr="0013383C">
        <w:rPr>
          <w:rFonts w:ascii="Times New Roman" w:hAnsi="Times New Roman" w:cs="Times New Roman"/>
          <w:sz w:val="24"/>
          <w:szCs w:val="24"/>
          <w:lang w:val="sk-SK"/>
        </w:rPr>
        <w:t>, rakúsky súd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ako súd krajiny pôvodného obvyklého pobytu 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maloletých detí. Všeobecné súdy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vychádzajúc z vlastných zistení i z informácií o konaní pr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ebiehajúcom pred rakúskym súdom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usúdili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ž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e existujú objektívne dostatočné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záruky že práva a oprávnené záujmy maloletých detí budú po návrate do Rakúskej republiky chránené na požadovanej úrovni. 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Podľa Ústavného súdu sa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>všeobecné súdy dostatočne jasne a zrozumiteľne a ústavne akceptovateľným spôsobom vysporiadal</w:t>
      </w:r>
      <w:r w:rsidR="00D54CE2" w:rsidRPr="0013383C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 argument</w:t>
      </w:r>
      <w:r w:rsidR="00D54CE2" w:rsidRPr="0013383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58068C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mi otca (únoscu) smerujúcimi proti návratu maloletých detí. </w:t>
      </w:r>
    </w:p>
    <w:p w14:paraId="1EB2C4C6" w14:textId="70894D36" w:rsidR="00376454" w:rsidRPr="0013383C" w:rsidRDefault="00376454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E6410F8" w14:textId="566C891B" w:rsidR="00376454" w:rsidRPr="0013383C" w:rsidRDefault="00D54CE2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Ústavný súd u</w:t>
      </w:r>
      <w:r w:rsidR="00F8690A" w:rsidRPr="0013383C">
        <w:rPr>
          <w:rFonts w:ascii="Times New Roman" w:hAnsi="Times New Roman" w:cs="Times New Roman"/>
          <w:sz w:val="24"/>
          <w:szCs w:val="24"/>
          <w:lang w:val="sk-SK"/>
        </w:rPr>
        <w:t>ž vo svojej predošlej judikatúre – Nález Ústavného súdu vo veci I. ÚS 114/08 z 12. 6. 2008,  konštatoval že rozhodnutie o odmietnutí návratu dieťaťa musí vychádzať zo súdom starostlivo zisteného a objasneného skutkového stavu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69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F8690A" w:rsidRPr="0013383C">
        <w:rPr>
          <w:rFonts w:ascii="Times New Roman" w:hAnsi="Times New Roman" w:cs="Times New Roman"/>
          <w:sz w:val="24"/>
          <w:szCs w:val="24"/>
          <w:lang w:val="sk-SK"/>
        </w:rPr>
        <w:t>emôže najmä vychádzať len z dôkazov produkovaných jedným z účastníkov konania o návrat dieťaťa. V predmetnom konaní všeobecný súd vychádzal zo znaleckých posudkov vyhotovených</w:t>
      </w:r>
      <w:r w:rsidR="00E24E3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psychologičkou</w:t>
      </w:r>
      <w:r w:rsidR="00F8690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Slovenskej republike, na základe pozorovania detí po ich odvedení na územie Slovenskej republiky a na základe výpovedí matky. </w:t>
      </w:r>
      <w:r w:rsidR="00E24E3E" w:rsidRPr="0013383C">
        <w:rPr>
          <w:rFonts w:ascii="Times New Roman" w:hAnsi="Times New Roman" w:cs="Times New Roman"/>
          <w:sz w:val="24"/>
          <w:szCs w:val="24"/>
          <w:lang w:val="sk-SK"/>
        </w:rPr>
        <w:t>Psychologička nebola v kontakte s otcom dieťaťa a neskúmala interakciu detí s otcom, ani informácie od osôb ktoré poznali deti v</w:t>
      </w:r>
      <w:r w:rsidR="009D373A" w:rsidRPr="0013383C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E24E3E" w:rsidRPr="0013383C">
        <w:rPr>
          <w:rFonts w:ascii="Times New Roman" w:hAnsi="Times New Roman" w:cs="Times New Roman"/>
          <w:sz w:val="24"/>
          <w:szCs w:val="24"/>
          <w:lang w:val="sk-SK"/>
        </w:rPr>
        <w:t>Nórsku</w:t>
      </w:r>
      <w:r w:rsidR="009D373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(v krajine ich pôvodného obvyklého pobytu)</w:t>
      </w:r>
      <w:r w:rsidR="00E24E3E" w:rsidRPr="0013383C">
        <w:rPr>
          <w:rFonts w:ascii="Times New Roman" w:hAnsi="Times New Roman" w:cs="Times New Roman"/>
          <w:sz w:val="24"/>
          <w:szCs w:val="24"/>
          <w:lang w:val="sk-SK"/>
        </w:rPr>
        <w:t>, čím došlo tiež k porušeniu princípu rovnosti zbraní. Ústavný súd tiež upozornil všeobecný súd že bolo jeho povinnosťou vysporiadať sa v odôvodnení rozsudku so znaleckým posudkom vypracovaným znalcom z Nórska a predloženým otcom v konaní.</w:t>
      </w:r>
      <w:r w:rsidR="00E7240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Ústavný súd pripomenul že, i keď je súd sám oprávnený rozhodnúť akú váhu prisúdi jednotlivým dôkazom v konaní </w:t>
      </w:r>
      <w:r w:rsidR="00E24E3E" w:rsidRPr="0013383C">
        <w:rPr>
          <w:rFonts w:ascii="Times New Roman" w:hAnsi="Times New Roman" w:cs="Times New Roman"/>
          <w:sz w:val="24"/>
          <w:szCs w:val="24"/>
          <w:lang w:val="sk-SK"/>
        </w:rPr>
        <w:t>(zásada voľného hodnotenia dôkazov)</w:t>
      </w:r>
      <w:r w:rsidR="00E7240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, neznamená to </w:t>
      </w:r>
      <w:proofErr w:type="spellStart"/>
      <w:r w:rsidR="00E72403" w:rsidRPr="0013383C">
        <w:rPr>
          <w:rFonts w:ascii="Times New Roman" w:hAnsi="Times New Roman" w:cs="Times New Roman"/>
          <w:sz w:val="24"/>
          <w:szCs w:val="24"/>
          <w:lang w:val="sk-SK"/>
        </w:rPr>
        <w:t>svojvôlu</w:t>
      </w:r>
      <w:proofErr w:type="spellEnd"/>
      <w:r w:rsidR="00E72403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súdu. Kontrolný mechanizmus výkonu tohto oprávnenia predstavuje odôvodnenie rozhodnutia, v ktorom je súd povinný stručne, jasne a výstižne vysvetliť akými úvahami sa pri hodnotení dôkazov riadil</w:t>
      </w:r>
      <w:r w:rsidR="00E24E3E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2B11E1DB" w14:textId="26A1255F" w:rsidR="00B51026" w:rsidRPr="0013383C" w:rsidRDefault="00B5102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F236F61" w14:textId="062EA245" w:rsidR="00B51026" w:rsidRPr="0013383C" w:rsidRDefault="00B51026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Najvyšší súd Slovenskej republiky v už </w:t>
      </w:r>
      <w:proofErr w:type="spellStart"/>
      <w:r w:rsidR="007C381D" w:rsidRPr="0013383C">
        <w:rPr>
          <w:rFonts w:ascii="Times New Roman" w:hAnsi="Times New Roman" w:cs="Times New Roman"/>
          <w:sz w:val="24"/>
          <w:szCs w:val="24"/>
          <w:lang w:val="sk-SK"/>
        </w:rPr>
        <w:t>horevyššie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zmienenom uznesení (</w:t>
      </w:r>
      <w:r w:rsidR="004D3FF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jeho podstatné časti boli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>citované v uznesení Ústavného súdu z 5. 9. 2018) pripomenul význam spolupráce ústredných orgánov členských štátov EÚ pri rozhodovaní o návrate neoprávnene odvedeného alebo zadržaného dieťaťa. V rámci rozhodovania o nevrátení dieťaťa musí súd zvažovať i informácie o sociálnom prostredí dieťaťa ktoré mu poskytne ústredný orgán členského štátu pôvodného obvyklého pobytu dieťaťa. Rozhodujúce pritom sú informácie o sociálnom prostredí dieťaťa po návrate, nie pred návratom</w:t>
      </w:r>
      <w:r w:rsidR="004D3FF9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. Pod pojmom „sociálne prostredie dieťaťa“ rozumie Najvyšší súd celkové sociálne pomery do ktorých sa má dieťa vrátiť, najmä to ktoré osoby, inštitúcie alebo úrady a akým spôsobom budú zabezpečovať starostlivosť o dieťa a aké sú vzájomné vzťahy týchto osôb a dieťaťa. </w:t>
      </w:r>
      <w:r w:rsidR="007C381D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Najvyšší súd poukázal i na dôležitosť rýchleho rozhodovania o návrate dieťaťa. Ako uviedol, ak sa konanie príliš predlžuje, zvyšuje sa pravdepodobnosť že dieťa sa s novým prostredím zžije a návrat do miesta obvyklého pobytu dieťaťa bude pre dieťa traumatizujúci.  </w:t>
      </w:r>
    </w:p>
    <w:p w14:paraId="289BCF59" w14:textId="3FDB916F" w:rsidR="007C381D" w:rsidRPr="0013383C" w:rsidRDefault="007C38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5671A07" w14:textId="3153893A" w:rsidR="007C381D" w:rsidRPr="0013383C" w:rsidRDefault="007C381D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Všetky tri súdy tiež zhodne poukázali  na skutočnosť že Nariadenia Brusel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má z pohľadu členských štátov EÚ aplikačnú prednosť pred Haagskym dohovoru z r. 1980 a že Nariadenie článok 11 ods. 4 sprísňuje kritériá pre odmietnutie návratu dieťaťa v situáciách ktoré upravuje článok 13 písm. b) Haagskeho dohovoru. </w:t>
      </w:r>
    </w:p>
    <w:p w14:paraId="74662DD0" w14:textId="77777777" w:rsidR="004C42FB" w:rsidRPr="0013383C" w:rsidRDefault="004C42FB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F2FB823" w14:textId="0D2FD1F1" w:rsidR="00194261" w:rsidRPr="0013383C" w:rsidRDefault="00194261" w:rsidP="001338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e) prihliadnutie na názor dieťaťa</w:t>
      </w:r>
    </w:p>
    <w:p w14:paraId="2183F22C" w14:textId="2841D58F" w:rsidR="00824E6A" w:rsidRPr="0013383C" w:rsidRDefault="005463E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Ústavný súd sa v uznesení z</w:t>
      </w:r>
      <w:r w:rsidR="002E74A4" w:rsidRPr="0013383C">
        <w:rPr>
          <w:rFonts w:ascii="Times New Roman" w:hAnsi="Times New Roman" w:cs="Times New Roman"/>
          <w:sz w:val="24"/>
          <w:szCs w:val="24"/>
          <w:lang w:val="sk-SK"/>
        </w:rPr>
        <w:t> 5. 9. 2018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venoval prieskumu postupu všeobecných súdov pri posudzovaní nesúhlasu maloletých detí ako ďalšej prekážky návratu detí do krajiny ich obvyklého pobytu, tak ako to stanovuje Haagsky dohovor z 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r. 1980 v článku 13. Pripomenul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že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je úlohou súdu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preskúma</w:t>
      </w:r>
      <w:r w:rsidR="00E03C58" w:rsidRPr="0013383C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nesúhlas dieťaťa, vrátane posúdenia či dieťa dosiahlo vek a stupeň vyspelosti pri ktorom je vhodné zohľadniť jeho názory. Nariadenie Brusel </w:t>
      </w:r>
      <w:proofErr w:type="spellStart"/>
      <w:r w:rsidRPr="0013383C">
        <w:rPr>
          <w:rFonts w:ascii="Times New Roman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v čl. 11 ods. 2 posilňuje prá</w:t>
      </w:r>
      <w:r w:rsidR="002B08D9" w:rsidRPr="0013383C">
        <w:rPr>
          <w:rFonts w:ascii="Times New Roman" w:hAnsi="Times New Roman" w:cs="Times New Roman"/>
          <w:sz w:val="24"/>
          <w:szCs w:val="24"/>
          <w:lang w:val="sk-SK"/>
        </w:rPr>
        <w:t>vo dieťaťa vyjadriť sa v konaní</w:t>
      </w:r>
      <w:r w:rsidR="00824E6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ktoré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sa ho týka. Od vypočutia dieťaťa je možné upustiť iba vo výnimočnom prípade. Z dostupnej judikatúry súdov zmluvných štátov Haagskeho dohovoru z r. 1980 ale tiež vyplýva že sú určité limity pri ktorých súd rozhodujúci 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vo veci návratu neprihliadne na názor dieťaťa. </w:t>
      </w:r>
      <w:r w:rsidR="00824E6A" w:rsidRPr="0013383C">
        <w:rPr>
          <w:rFonts w:ascii="Times New Roman" w:hAnsi="Times New Roman" w:cs="Times New Roman"/>
          <w:sz w:val="24"/>
          <w:szCs w:val="24"/>
          <w:lang w:val="sk-SK"/>
        </w:rPr>
        <w:t>Ide napríklad o prípady ak sa ukáže že dieťa nemá relevantné dôvody pre svoje námietky, ale že názor dieťaťa je ovplyvnený treťou osobou alebo únoscom.</w:t>
      </w:r>
    </w:p>
    <w:p w14:paraId="171B3AD1" w14:textId="77777777" w:rsidR="00824E6A" w:rsidRPr="0013383C" w:rsidRDefault="00824E6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D14511" w14:textId="29D2466D" w:rsidR="005463EA" w:rsidRPr="0013383C" w:rsidRDefault="00824E6A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V posudzovanom prípade všeobecné súdy neprihliadli na nesúhlas detí s návratom (deti boli vo veku 7 a 10 rokov), pretože ich vyjadrenia vyhodnotili ako neautentické, ovplyvnené rozvodovou situáciou a jednostranne negatívne nastavené voči všetkým osobám ktoré poznali v Rakúsku (vrátane napr. spolužiak</w:t>
      </w:r>
      <w:r w:rsidR="002B08D9" w:rsidRPr="0013383C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 učiteľo</w:t>
      </w:r>
      <w:r w:rsidR="002B08D9" w:rsidRPr="0013383C">
        <w:rPr>
          <w:rFonts w:ascii="Times New Roman" w:hAnsi="Times New Roman" w:cs="Times New Roman"/>
          <w:sz w:val="24"/>
          <w:szCs w:val="24"/>
          <w:lang w:val="sk-SK"/>
        </w:rPr>
        <w:t>v, susedov</w:t>
      </w:r>
      <w:r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a pod.). Ako uviedli všeobecné súdy, hodnotenie vyjadrenia detí súdom rozhodujúcim v konaní o návrat musí byť komplexné vo vzťahu k dôkazom a skutočnostiam ktoré boli v konaní zistené a preukázané. Rovnako v tomto prípade Ústavný súd nevidel pochybenia v postupe všeobecných súdov.  </w:t>
      </w:r>
      <w:r w:rsidR="005463EA" w:rsidRPr="0013383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3A59925" w14:textId="7DC491CC" w:rsidR="006622A0" w:rsidRPr="0013383C" w:rsidRDefault="006622A0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2E34370" w14:textId="77777777" w:rsidR="0013383C" w:rsidRPr="0013383C" w:rsidRDefault="0013383C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39F06B6" w14:textId="77777777" w:rsidR="0013383C" w:rsidRPr="0013383C" w:rsidRDefault="0013383C" w:rsidP="0013383C">
      <w:pPr>
        <w:pStyle w:val="Odsekzoznamu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Závery</w:t>
      </w:r>
    </w:p>
    <w:p w14:paraId="36D16AF4" w14:textId="77777777" w:rsidR="0013383C" w:rsidRPr="0013383C" w:rsidRDefault="0013383C" w:rsidP="0013383C">
      <w:pPr>
        <w:pStyle w:val="Odsekzoznamu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Problémové oblasti</w:t>
      </w:r>
    </w:p>
    <w:p w14:paraId="1B00EFC7" w14:textId="77777777" w:rsidR="0013383C" w:rsidRPr="0013383C" w:rsidRDefault="0013383C" w:rsidP="0013383C">
      <w:pPr>
        <w:pStyle w:val="Odsekzoznamu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3383C">
        <w:rPr>
          <w:rFonts w:ascii="Times New Roman" w:hAnsi="Times New Roman" w:cs="Times New Roman"/>
          <w:sz w:val="24"/>
          <w:szCs w:val="24"/>
          <w:lang w:val="sk-SK"/>
        </w:rPr>
        <w:t>Navrhované riešenia a príklad dobrej praxe</w:t>
      </w:r>
    </w:p>
    <w:p w14:paraId="0DFB76AB" w14:textId="77777777" w:rsidR="0013383C" w:rsidRPr="0013383C" w:rsidRDefault="0013383C" w:rsidP="00133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9DFF417" w14:textId="77777777" w:rsidR="00991FAC" w:rsidRPr="0013383C" w:rsidRDefault="00A26DAF" w:rsidP="0013383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Prax slovenských súdov ukazuje že pri aplikácii Nariadenia Brusel </w:t>
      </w:r>
      <w:proofErr w:type="spellStart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IIa</w:t>
      </w:r>
      <w:proofErr w:type="spellEnd"/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, pri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určovaní právomoci slovenských súdov vo veciach rozvodu manželstva</w:t>
      </w:r>
      <w:r w:rsidRPr="0013383C">
        <w:rPr>
          <w:rStyle w:val="Odkaznapoznmkupodiarou"/>
          <w:rFonts w:ascii="Times New Roman" w:eastAsia="PMingLiU" w:hAnsi="Times New Roman" w:cs="Times New Roman"/>
          <w:sz w:val="24"/>
          <w:szCs w:val="24"/>
          <w:lang w:val="sk-SK"/>
        </w:rPr>
        <w:footnoteReference w:id="17"/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a rodičovských práv a povinností, 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najnáročnejšou úlohou pre súd 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na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ďalej zostáva určenie miesta obvyklého pobytu dieťaťa. 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Ukazuje sa že každá z takýchto situácií je individuálna a neexistuje jednotný vzorec ich riešenia. Na druhej strane, ako vidno 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na príklade horeuvedených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rozhodnutí, 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už dnes existuje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okruh rozhodnutí Najvyššieho súdu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SR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alebo krajských súdov, ktoré môžu byť inšpiráciou pre prvostupňové súdy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pri riešení tejto otázky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. Obdobne 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tiež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 prípade 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tzv. 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občianskoprávnych únosov, kde 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sú podmienky a limity rozhodovania v týchto veciach veľmi precízne rozpracované v judikatúre Najvyššieho súdu a 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Ústavného súdu</w:t>
      </w:r>
      <w:r w:rsidR="003D3D8A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SR</w:t>
      </w:r>
      <w:r w:rsidR="00004DA7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. </w:t>
      </w:r>
    </w:p>
    <w:p w14:paraId="2F6D9DE6" w14:textId="77777777" w:rsidR="00991FAC" w:rsidRPr="0013383C" w:rsidRDefault="00991FAC" w:rsidP="0013383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</w:p>
    <w:p w14:paraId="54C75D63" w14:textId="678A53DA" w:rsidR="00F65128" w:rsidRPr="0013383C" w:rsidRDefault="00004DA7" w:rsidP="0013383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Druhou stranou mince je že tieto rozhodnutia sú skryté v záplave rozhodnutí k Bruselu </w:t>
      </w:r>
      <w:proofErr w:type="spellStart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IIa</w:t>
      </w:r>
      <w:proofErr w:type="spellEnd"/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  <w:r w:rsidR="00991FA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ktoré sú vygenerované po zadaní príslušného dotazu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</w:t>
      </w:r>
      <w:r w:rsidR="00991FA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niektorej verejnej alebo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súkromn</w:t>
      </w:r>
      <w:r w:rsidR="00991FA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ej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  <w:r w:rsidR="0013383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databáze</w:t>
      </w:r>
      <w:r w:rsidR="00991FA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súdnych rozhodnutí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.</w:t>
      </w:r>
      <w:r w:rsidR="00991FA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Výnimku tvoria len rozhodnutia publikované v </w:t>
      </w:r>
      <w:r w:rsidR="00991FAC" w:rsidRPr="0013383C">
        <w:rPr>
          <w:rFonts w:ascii="Times New Roman" w:eastAsia="PMingLiU" w:hAnsi="Times New Roman" w:cs="Times New Roman"/>
          <w:i/>
          <w:sz w:val="24"/>
          <w:szCs w:val="24"/>
          <w:lang w:val="sk-SK"/>
        </w:rPr>
        <w:t>Zbierke stanovísk</w:t>
      </w:r>
      <w:r w:rsidR="009D373A" w:rsidRPr="0013383C">
        <w:rPr>
          <w:rFonts w:ascii="Times New Roman" w:eastAsia="PMingLiU" w:hAnsi="Times New Roman" w:cs="Times New Roman"/>
          <w:i/>
          <w:sz w:val="24"/>
          <w:szCs w:val="24"/>
          <w:lang w:val="sk-SK"/>
        </w:rPr>
        <w:t xml:space="preserve"> Najvyššieho súdu</w:t>
      </w:r>
      <w:r w:rsidR="00991FAC" w:rsidRPr="0013383C">
        <w:rPr>
          <w:rFonts w:ascii="Times New Roman" w:eastAsia="PMingLiU" w:hAnsi="Times New Roman" w:cs="Times New Roman"/>
          <w:i/>
          <w:sz w:val="24"/>
          <w:szCs w:val="24"/>
          <w:lang w:val="sk-SK"/>
        </w:rPr>
        <w:t xml:space="preserve"> a rozhodnutí súdov</w:t>
      </w:r>
      <w:r w:rsidR="009D373A" w:rsidRPr="0013383C">
        <w:rPr>
          <w:rFonts w:ascii="Times New Roman" w:eastAsia="PMingLiU" w:hAnsi="Times New Roman" w:cs="Times New Roman"/>
          <w:i/>
          <w:sz w:val="24"/>
          <w:szCs w:val="24"/>
          <w:lang w:val="sk-SK"/>
        </w:rPr>
        <w:t xml:space="preserve"> Slovenskej republiky</w:t>
      </w:r>
      <w:r w:rsidR="00991FA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dostupnej na webstránke Najvyššieho súdu SR, alebo ojedinele rozoberané v odborných článkoch. Stále však ide o informácie o jednotlivom rozhodnutí, nie súbor relevantných rozhodnutí k určitej téme.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Súdy by mali mať k dispozícii účinný</w:t>
      </w:r>
      <w:r w:rsidR="00EC24A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nástroj kde budú obdobné rozhodnutia rýchlo a jednoducho dostupné.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  </w:t>
      </w:r>
      <w:r w:rsidR="00E9159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</w:p>
    <w:p w14:paraId="7A3313C3" w14:textId="77777777" w:rsidR="00F65128" w:rsidRPr="0013383C" w:rsidRDefault="00F65128" w:rsidP="0013383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</w:p>
    <w:p w14:paraId="34D3EBB7" w14:textId="5283A0C1" w:rsidR="00A26DAF" w:rsidRPr="009569A9" w:rsidRDefault="00991FAC" w:rsidP="0013383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Ako čiastkový </w:t>
      </w:r>
      <w:r w:rsidR="0013383C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problém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sa ukazuje </w:t>
      </w:r>
      <w:r w:rsidR="001E7323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aplikácia článku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12 Nariadenia Brusel </w:t>
      </w:r>
      <w:proofErr w:type="spellStart"/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IIa</w:t>
      </w:r>
      <w:proofErr w:type="spellEnd"/>
      <w:r w:rsidR="001E7323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, zakotvujúceho možnosť manželov a nositeľov rodičovských práv a povinností založiť právomoc súdu dohodou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. Odvolacie súdy neraz upozorňovali súdy nižších stupňov na existenciu tejto alternatívy, najmä v 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súvislosti s konaniami o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rozvod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e rodičov maloletých detí. Súdy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nižších stupňov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sa s ňou</w:t>
      </w:r>
      <w:r w:rsidR="00F65128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často vôbec nezaoberali. Nízke povedomie o tejto možnosti a podmienkach jej realizácie je i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medzi účastníkmi rodinnoprávnych vzťahov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s cudzím prvkom.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Krajský súd v Bratislave vo svojom rozhodnutí z 13.1.2014 navrhuje a odporúča súdom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,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konajúcim o rozvode manželstva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,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účastníkov konania o tejto možnosti výslovne informovať. 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Zdá sa že by bolo vhodné posilniť informovanosť 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o možnosti 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voľby právomoci súdo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v členských štátov EÚ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vo 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lastRenderedPageBreak/>
        <w:t xml:space="preserve">veci rodičovských práv a povinností, ktorá sa s príchodom revidovaného Nariadenia </w:t>
      </w:r>
      <w:r w:rsidR="001E7323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2019/1111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dokonca posilňuje</w:t>
      </w:r>
      <w:r w:rsidR="001E7323" w:rsidRPr="0013383C">
        <w:rPr>
          <w:rStyle w:val="Odkaznapoznmkupodiarou"/>
          <w:rFonts w:ascii="Times New Roman" w:eastAsia="PMingLiU" w:hAnsi="Times New Roman" w:cs="Times New Roman"/>
          <w:sz w:val="24"/>
          <w:szCs w:val="24"/>
          <w:lang w:val="sk-SK"/>
        </w:rPr>
        <w:footnoteReference w:id="18"/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, 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a to 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nielen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vo vzťahu k súdom a advokátom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ale 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I,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a najmä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,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vo vzťahu k širokej verejnosti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ktorá je adresátom </w:t>
      </w:r>
      <w:r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to</w:t>
      </w:r>
      <w:r w:rsidR="00D1059D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hoto práva</w:t>
      </w:r>
      <w:r w:rsidR="0012294B" w:rsidRPr="0013383C">
        <w:rPr>
          <w:rFonts w:ascii="Times New Roman" w:eastAsia="PMingLiU" w:hAnsi="Times New Roman" w:cs="Times New Roman"/>
          <w:sz w:val="24"/>
          <w:szCs w:val="24"/>
          <w:lang w:val="sk-SK"/>
        </w:rPr>
        <w:t>.</w:t>
      </w:r>
      <w:r w:rsidR="009D373A" w:rsidRPr="009569A9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  <w:r w:rsidR="0012294B" w:rsidRPr="009569A9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 </w:t>
      </w:r>
      <w:r w:rsidR="00F65128" w:rsidRPr="009569A9">
        <w:rPr>
          <w:rFonts w:ascii="Times New Roman" w:eastAsia="PMingLiU" w:hAnsi="Times New Roman" w:cs="Times New Roman"/>
          <w:sz w:val="24"/>
          <w:szCs w:val="24"/>
          <w:lang w:val="sk-SK"/>
        </w:rPr>
        <w:t xml:space="preserve"> </w:t>
      </w:r>
    </w:p>
    <w:p w14:paraId="19F14BB2" w14:textId="1B5BDF93" w:rsidR="00F65128" w:rsidRPr="009569A9" w:rsidRDefault="00F65128" w:rsidP="0013383C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eastAsia="PMingLiU" w:hAnsi="Times New Roman" w:cs="Times New Roman"/>
          <w:sz w:val="24"/>
          <w:szCs w:val="24"/>
          <w:lang w:val="sk-SK"/>
        </w:rPr>
      </w:pPr>
    </w:p>
    <w:sectPr w:rsidR="00F65128" w:rsidRPr="009569A9" w:rsidSect="00845B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71D6" w14:textId="77777777" w:rsidR="004143CA" w:rsidRDefault="004143CA" w:rsidP="00370D4D">
      <w:pPr>
        <w:spacing w:after="0" w:line="240" w:lineRule="auto"/>
      </w:pPr>
      <w:r>
        <w:separator/>
      </w:r>
    </w:p>
  </w:endnote>
  <w:endnote w:type="continuationSeparator" w:id="0">
    <w:p w14:paraId="6081FC73" w14:textId="77777777" w:rsidR="004143CA" w:rsidRDefault="004143CA" w:rsidP="0037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251062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41E72C9" w14:textId="334B139D" w:rsidR="00ED0883" w:rsidRPr="005129BB" w:rsidRDefault="00ED0883">
            <w:pPr>
              <w:pStyle w:val="Pt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29BB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2E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5129BB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32E7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51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2659A5" w14:textId="77777777" w:rsidR="00ED0883" w:rsidRPr="005129BB" w:rsidRDefault="00ED0883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7674" w14:textId="77777777" w:rsidR="004143CA" w:rsidRDefault="004143CA" w:rsidP="00370D4D">
      <w:pPr>
        <w:spacing w:after="0" w:line="240" w:lineRule="auto"/>
      </w:pPr>
      <w:r>
        <w:separator/>
      </w:r>
    </w:p>
  </w:footnote>
  <w:footnote w:type="continuationSeparator" w:id="0">
    <w:p w14:paraId="7DC9B066" w14:textId="77777777" w:rsidR="004143CA" w:rsidRDefault="004143CA" w:rsidP="00370D4D">
      <w:pPr>
        <w:spacing w:after="0" w:line="240" w:lineRule="auto"/>
      </w:pPr>
      <w:r>
        <w:continuationSeparator/>
      </w:r>
    </w:p>
  </w:footnote>
  <w:footnote w:id="1">
    <w:p w14:paraId="7E3FDFA8" w14:textId="6D1F8D17" w:rsidR="00A300C5" w:rsidRPr="0013383C" w:rsidRDefault="00A300C5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Najmä body 27 až 28.8 odôvodnenia rozhodnutia Najvyššieho súdu z 25.4.2018.</w:t>
      </w:r>
    </w:p>
  </w:footnote>
  <w:footnote w:id="2">
    <w:p w14:paraId="6269A2C5" w14:textId="00E2D888" w:rsidR="007F733B" w:rsidRPr="0013383C" w:rsidRDefault="007F733B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Najvyšší súd v tomto rozsudku tiež poukázal na skutočnosť že obvyklý pobyt nemožno stotožňovať z trvalým pobytom osoby (viď body 27 a 28.1 rozsudku NS SR)</w:t>
      </w:r>
    </w:p>
  </w:footnote>
  <w:footnote w:id="3">
    <w:p w14:paraId="4CD42A7D" w14:textId="28535434" w:rsidR="00D36D72" w:rsidRPr="0013383C" w:rsidRDefault="00D36D72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Najvyšší súd v zmysle slovenských procesných predpisov v dovolacom konaní nevykonáva dokazovanie a je viazaný skutkovým stavom, tak ako ho zistil </w:t>
      </w:r>
      <w:r w:rsidR="006B2609" w:rsidRPr="0013383C">
        <w:rPr>
          <w:lang w:val="sk-SK"/>
        </w:rPr>
        <w:t xml:space="preserve"> odvolací súd (§ 442 CSP)</w:t>
      </w:r>
      <w:r w:rsidRPr="0013383C">
        <w:rPr>
          <w:lang w:val="sk-SK"/>
        </w:rPr>
        <w:t xml:space="preserve"> </w:t>
      </w:r>
    </w:p>
  </w:footnote>
  <w:footnote w:id="4">
    <w:p w14:paraId="160EA771" w14:textId="34F4F472" w:rsidR="00721D1E" w:rsidRPr="0013383C" w:rsidRDefault="00721D1E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</w:t>
      </w:r>
      <w:r w:rsidR="00212952" w:rsidRPr="0013383C">
        <w:rPr>
          <w:lang w:val="sk-SK"/>
        </w:rPr>
        <w:t xml:space="preserve">Všeobecný komentár č. 14 z r. 2013 o práve dieťaťa na prvoradé zohľadnenie jeho alebo jeho najlepšieho záujmu, rovnako ako ďalšie dokumenty prijaté Výborom pre práva dieťaťa sú dostupné v slovenskom jazyku na webstránke Ministerstva práce, sociálnych vecí a rodiny SR </w:t>
      </w:r>
      <w:hyperlink r:id="rId1" w:history="1">
        <w:r w:rsidR="00212952" w:rsidRPr="0013383C">
          <w:rPr>
            <w:rStyle w:val="Hypertextovprepojenie"/>
            <w:lang w:val="sk-SK"/>
          </w:rPr>
          <w:t>https://www.employment.gov.sk/sk/vybor-deti-mladez/</w:t>
        </w:r>
      </w:hyperlink>
      <w:r w:rsidR="00212952" w:rsidRPr="0013383C">
        <w:rPr>
          <w:lang w:val="sk-SK"/>
        </w:rPr>
        <w:t xml:space="preserve"> </w:t>
      </w:r>
    </w:p>
  </w:footnote>
  <w:footnote w:id="5">
    <w:p w14:paraId="00F59DA5" w14:textId="1650F616" w:rsidR="00827C4D" w:rsidRPr="0013383C" w:rsidRDefault="00827C4D">
      <w:pPr>
        <w:pStyle w:val="Textpoznmkypodiarou"/>
        <w:rPr>
          <w:rFonts w:cstheme="minorHAnsi"/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</w:t>
      </w:r>
      <w:r w:rsidRPr="0013383C">
        <w:rPr>
          <w:rFonts w:cstheme="minorHAnsi"/>
          <w:lang w:val="sk-SK"/>
        </w:rPr>
        <w:t xml:space="preserve">Z odôvodnenia Krajského súdu je zrejmé že vychádzal z článku 10 Nariadenia Brusel </w:t>
      </w:r>
      <w:proofErr w:type="spellStart"/>
      <w:r w:rsidRPr="0013383C">
        <w:rPr>
          <w:rFonts w:cstheme="minorHAnsi"/>
          <w:lang w:val="sk-SK"/>
        </w:rPr>
        <w:t>IIa</w:t>
      </w:r>
      <w:proofErr w:type="spellEnd"/>
      <w:r w:rsidRPr="0013383C">
        <w:rPr>
          <w:rFonts w:cstheme="minorHAnsi"/>
          <w:lang w:val="sk-SK"/>
        </w:rPr>
        <w:t>, ktorý v plnom rozsahu citoval medzi odkazovanými predpismi.</w:t>
      </w:r>
    </w:p>
  </w:footnote>
  <w:footnote w:id="6">
    <w:p w14:paraId="435AE3D0" w14:textId="59AFC6A1" w:rsidR="009E2D56" w:rsidRPr="0013383C" w:rsidRDefault="009E2D56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Body 23 až 25 rozsudku Krajského súdu v Trnave z 14.1.2019</w:t>
      </w:r>
    </w:p>
  </w:footnote>
  <w:footnote w:id="7">
    <w:p w14:paraId="4895D0C3" w14:textId="50DFAF3F" w:rsidR="00CD6E0A" w:rsidRPr="0013383C" w:rsidRDefault="00CD6E0A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K tomuto viď </w:t>
      </w:r>
      <w:proofErr w:type="spellStart"/>
      <w:r w:rsidRPr="0013383C">
        <w:rPr>
          <w:lang w:val="sk-SK"/>
        </w:rPr>
        <w:t>Šínová</w:t>
      </w:r>
      <w:proofErr w:type="spellEnd"/>
      <w:r w:rsidRPr="0013383C">
        <w:rPr>
          <w:lang w:val="sk-SK"/>
        </w:rPr>
        <w:t xml:space="preserve">, R.: Komentár k § 100. In: </w:t>
      </w:r>
      <w:proofErr w:type="spellStart"/>
      <w:r w:rsidR="00016A0E" w:rsidRPr="0013383C">
        <w:rPr>
          <w:lang w:val="sk-SK"/>
        </w:rPr>
        <w:t>Smyčková</w:t>
      </w:r>
      <w:proofErr w:type="spellEnd"/>
      <w:r w:rsidR="00016A0E" w:rsidRPr="0013383C">
        <w:rPr>
          <w:lang w:val="sk-SK"/>
        </w:rPr>
        <w:t xml:space="preserve"> R., </w:t>
      </w:r>
      <w:proofErr w:type="spellStart"/>
      <w:r w:rsidR="00016A0E" w:rsidRPr="0013383C">
        <w:rPr>
          <w:lang w:val="sk-SK"/>
        </w:rPr>
        <w:t>Števček</w:t>
      </w:r>
      <w:proofErr w:type="spellEnd"/>
      <w:r w:rsidR="00016A0E" w:rsidRPr="0013383C">
        <w:rPr>
          <w:lang w:val="sk-SK"/>
        </w:rPr>
        <w:t xml:space="preserve"> M., Tomašovič M., </w:t>
      </w:r>
      <w:proofErr w:type="spellStart"/>
      <w:r w:rsidR="00016A0E" w:rsidRPr="0013383C">
        <w:rPr>
          <w:lang w:val="sk-SK"/>
        </w:rPr>
        <w:t>Kotrecová</w:t>
      </w:r>
      <w:proofErr w:type="spellEnd"/>
      <w:r w:rsidR="00016A0E" w:rsidRPr="0013383C">
        <w:rPr>
          <w:lang w:val="sk-SK"/>
        </w:rPr>
        <w:t xml:space="preserve"> A. a kol. </w:t>
      </w:r>
      <w:r w:rsidR="00016A0E" w:rsidRPr="0013383C">
        <w:rPr>
          <w:i/>
          <w:lang w:val="sk-SK"/>
        </w:rPr>
        <w:t>Civilný mimosporový poriadok. Komentár</w:t>
      </w:r>
      <w:r w:rsidR="00016A0E" w:rsidRPr="0013383C">
        <w:rPr>
          <w:lang w:val="sk-SK"/>
        </w:rPr>
        <w:t xml:space="preserve">. Bratislava: </w:t>
      </w:r>
      <w:proofErr w:type="spellStart"/>
      <w:r w:rsidR="00016A0E" w:rsidRPr="0013383C">
        <w:rPr>
          <w:lang w:val="sk-SK"/>
        </w:rPr>
        <w:t>C.H.Beck</w:t>
      </w:r>
      <w:proofErr w:type="spellEnd"/>
      <w:r w:rsidR="00016A0E" w:rsidRPr="0013383C">
        <w:rPr>
          <w:lang w:val="sk-SK"/>
        </w:rPr>
        <w:t xml:space="preserve">, 2018, </w:t>
      </w:r>
      <w:r w:rsidRPr="0013383C">
        <w:rPr>
          <w:lang w:val="sk-SK"/>
        </w:rPr>
        <w:t>s. 332 a </w:t>
      </w:r>
      <w:proofErr w:type="spellStart"/>
      <w:r w:rsidRPr="0013383C">
        <w:rPr>
          <w:lang w:val="sk-SK"/>
        </w:rPr>
        <w:t>nasl</w:t>
      </w:r>
      <w:proofErr w:type="spellEnd"/>
      <w:r w:rsidRPr="0013383C">
        <w:rPr>
          <w:lang w:val="sk-SK"/>
        </w:rPr>
        <w:t>.</w:t>
      </w:r>
    </w:p>
  </w:footnote>
  <w:footnote w:id="8">
    <w:p w14:paraId="722CA8A2" w14:textId="0A3E7608" w:rsidR="00464F1E" w:rsidRPr="0013383C" w:rsidRDefault="00464F1E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Nedopovedanou ale podľa nášho názoru zostáva otázka čo v prípade ak by slovenský súd mal v zmysle Nariadenia Brusel </w:t>
      </w:r>
      <w:proofErr w:type="spellStart"/>
      <w:r w:rsidRPr="0013383C">
        <w:rPr>
          <w:lang w:val="sk-SK"/>
        </w:rPr>
        <w:t>IIa</w:t>
      </w:r>
      <w:proofErr w:type="spellEnd"/>
      <w:r w:rsidRPr="0013383C">
        <w:rPr>
          <w:lang w:val="sk-SK"/>
        </w:rPr>
        <w:t xml:space="preserve"> právomoc tak vo veci rozvodu manželstva, ako i vo veci rodičovských práv a povinností, ale navrhovateľ by v návrhu žiadal len rozvod manželstva. Nie teda úpravu výkonu rodičovských práv a povinností k maloletým deťom. Mohol by v tomto prípade slovenský súd rozhodnúť nad rámec toho čo žiadajú účastníci konania, i keď by to vyžadovali vnútroštátne, subsidiárne použiteľné, procesné predpisy?</w:t>
      </w:r>
    </w:p>
  </w:footnote>
  <w:footnote w:id="9">
    <w:p w14:paraId="4B9D4190" w14:textId="5B237454" w:rsidR="000D4F45" w:rsidRPr="0013383C" w:rsidRDefault="000D4F45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Databáza Ústavného súdu uvádza celkovo 239 takýchto rozhodnutí (použité predmetové heslo „návrat dieťaťa“): </w:t>
      </w:r>
      <w:hyperlink r:id="rId2" w:anchor="!DecisionsSearchResultView" w:history="1">
        <w:r w:rsidRPr="0013383C">
          <w:rPr>
            <w:rStyle w:val="Hypertextovprepojenie"/>
            <w:lang w:val="sk-SK"/>
          </w:rPr>
          <w:t>https://www.ustavnysud.sk/vyhladavanie-rozhodnuti#!DecisionsSearchResultView</w:t>
        </w:r>
      </w:hyperlink>
      <w:r w:rsidRPr="0013383C">
        <w:rPr>
          <w:lang w:val="sk-SK"/>
        </w:rPr>
        <w:t xml:space="preserve"> </w:t>
      </w:r>
    </w:p>
  </w:footnote>
  <w:footnote w:id="10">
    <w:p w14:paraId="3052E1EC" w14:textId="03D51F62" w:rsidR="00016A0E" w:rsidRPr="0013383C" w:rsidRDefault="00D6341D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Článok 127</w:t>
      </w:r>
      <w:r w:rsidR="006E0C50" w:rsidRPr="0013383C">
        <w:rPr>
          <w:lang w:val="sk-SK"/>
        </w:rPr>
        <w:t xml:space="preserve"> </w:t>
      </w:r>
      <w:r w:rsidRPr="0013383C">
        <w:rPr>
          <w:lang w:val="sk-SK"/>
        </w:rPr>
        <w:t xml:space="preserve">zák. č. 460/1992 Zb. Ústava Slovenskej republiky. </w:t>
      </w:r>
    </w:p>
  </w:footnote>
  <w:footnote w:id="11">
    <w:p w14:paraId="33789528" w14:textId="0D15CE32" w:rsidR="001540B4" w:rsidRPr="0013383C" w:rsidRDefault="001540B4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Viď napr. bod 6 Uznesenia Ústavného súdu </w:t>
      </w:r>
      <w:proofErr w:type="spellStart"/>
      <w:r w:rsidR="002E74A4" w:rsidRPr="0013383C">
        <w:rPr>
          <w:lang w:val="sk-SK"/>
        </w:rPr>
        <w:t>sp</w:t>
      </w:r>
      <w:proofErr w:type="spellEnd"/>
      <w:r w:rsidR="002E74A4" w:rsidRPr="0013383C">
        <w:rPr>
          <w:lang w:val="sk-SK"/>
        </w:rPr>
        <w:t>. zn.</w:t>
      </w:r>
      <w:r w:rsidRPr="0013383C">
        <w:rPr>
          <w:lang w:val="sk-SK"/>
        </w:rPr>
        <w:t xml:space="preserve"> I. ÚS 304/2018</w:t>
      </w:r>
      <w:r w:rsidR="00613619" w:rsidRPr="0013383C">
        <w:rPr>
          <w:lang w:val="sk-SK"/>
        </w:rPr>
        <w:t xml:space="preserve"> z</w:t>
      </w:r>
      <w:r w:rsidR="00016A0E" w:rsidRPr="0013383C">
        <w:rPr>
          <w:lang w:val="sk-SK"/>
        </w:rPr>
        <w:t> 5. septembra 2018</w:t>
      </w:r>
      <w:r w:rsidR="00613619" w:rsidRPr="0013383C">
        <w:rPr>
          <w:lang w:val="sk-SK"/>
        </w:rPr>
        <w:t xml:space="preserve">, alebo bod 14 Uznesenia Ústavného súdu </w:t>
      </w:r>
      <w:proofErr w:type="spellStart"/>
      <w:r w:rsidR="002E74A4" w:rsidRPr="0013383C">
        <w:rPr>
          <w:lang w:val="sk-SK"/>
        </w:rPr>
        <w:t>sp</w:t>
      </w:r>
      <w:proofErr w:type="spellEnd"/>
      <w:r w:rsidR="002E74A4" w:rsidRPr="0013383C">
        <w:rPr>
          <w:lang w:val="sk-SK"/>
        </w:rPr>
        <w:t>. zn.</w:t>
      </w:r>
      <w:r w:rsidR="00613619" w:rsidRPr="0013383C">
        <w:rPr>
          <w:lang w:val="sk-SK"/>
        </w:rPr>
        <w:t>. II. ÚS 443/2017 zo 6. júla 2017.</w:t>
      </w:r>
      <w:r w:rsidR="00996CAE" w:rsidRPr="0013383C">
        <w:rPr>
          <w:lang w:val="sk-SK"/>
        </w:rPr>
        <w:t xml:space="preserve"> Bližšie viď </w:t>
      </w:r>
      <w:proofErr w:type="spellStart"/>
      <w:r w:rsidR="00996CAE" w:rsidRPr="0013383C">
        <w:rPr>
          <w:lang w:val="sk-SK"/>
        </w:rPr>
        <w:t>Drgonec</w:t>
      </w:r>
      <w:proofErr w:type="spellEnd"/>
      <w:r w:rsidR="00996CAE" w:rsidRPr="0013383C">
        <w:rPr>
          <w:lang w:val="sk-SK"/>
        </w:rPr>
        <w:t xml:space="preserve">, J. </w:t>
      </w:r>
      <w:r w:rsidR="00016A0E" w:rsidRPr="0013383C">
        <w:rPr>
          <w:lang w:val="sk-SK"/>
        </w:rPr>
        <w:t xml:space="preserve">Ústava Slovenskej republiky. Komentár. Bratislava: </w:t>
      </w:r>
      <w:proofErr w:type="spellStart"/>
      <w:r w:rsidR="00016A0E" w:rsidRPr="0013383C">
        <w:rPr>
          <w:lang w:val="sk-SK"/>
        </w:rPr>
        <w:t>C.H.Beck</w:t>
      </w:r>
      <w:proofErr w:type="spellEnd"/>
      <w:r w:rsidR="00016A0E" w:rsidRPr="0013383C">
        <w:rPr>
          <w:lang w:val="sk-SK"/>
        </w:rPr>
        <w:t>, 2019,</w:t>
      </w:r>
      <w:r w:rsidR="00996CAE" w:rsidRPr="0013383C">
        <w:rPr>
          <w:lang w:val="sk-SK"/>
        </w:rPr>
        <w:t xml:space="preserve"> s. 1386 - 1388.</w:t>
      </w:r>
    </w:p>
  </w:footnote>
  <w:footnote w:id="12">
    <w:p w14:paraId="7633CC14" w14:textId="7F5D9881" w:rsidR="00613619" w:rsidRPr="0013383C" w:rsidRDefault="00613619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</w:t>
      </w:r>
      <w:r w:rsidR="000850BD" w:rsidRPr="0013383C">
        <w:rPr>
          <w:lang w:val="sk-SK"/>
        </w:rPr>
        <w:t>Článok 2</w:t>
      </w:r>
      <w:r w:rsidR="002E74A4" w:rsidRPr="0013383C">
        <w:rPr>
          <w:lang w:val="sk-SK"/>
        </w:rPr>
        <w:t xml:space="preserve"> ods. 2, článok 3 ods. 1</w:t>
      </w:r>
      <w:r w:rsidR="000850BD" w:rsidRPr="0013383C">
        <w:rPr>
          <w:lang w:val="sk-SK"/>
        </w:rPr>
        <w:t xml:space="preserve"> zákona č. 160/2015 </w:t>
      </w:r>
      <w:proofErr w:type="spellStart"/>
      <w:r w:rsidR="000850BD" w:rsidRPr="0013383C">
        <w:rPr>
          <w:lang w:val="sk-SK"/>
        </w:rPr>
        <w:t>Z.z</w:t>
      </w:r>
      <w:proofErr w:type="spellEnd"/>
      <w:r w:rsidR="000850BD" w:rsidRPr="0013383C">
        <w:rPr>
          <w:lang w:val="sk-SK"/>
        </w:rPr>
        <w:t xml:space="preserve">. Civilný sporový poriadok. </w:t>
      </w:r>
    </w:p>
  </w:footnote>
  <w:footnote w:id="13">
    <w:p w14:paraId="7FF37ED8" w14:textId="3B9DF059" w:rsidR="006C4AE7" w:rsidRPr="0013383C" w:rsidRDefault="006C4AE7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</w:t>
      </w:r>
      <w:hyperlink r:id="rId3" w:history="1">
        <w:r w:rsidRPr="0013383C">
          <w:rPr>
            <w:rStyle w:val="Hypertextovprepojenie"/>
            <w:lang w:val="sk-SK"/>
          </w:rPr>
          <w:t>www.incadat.com</w:t>
        </w:r>
      </w:hyperlink>
      <w:r w:rsidRPr="0013383C">
        <w:rPr>
          <w:lang w:val="sk-SK"/>
        </w:rPr>
        <w:t xml:space="preserve"> </w:t>
      </w:r>
    </w:p>
  </w:footnote>
  <w:footnote w:id="14">
    <w:p w14:paraId="4195D2A4" w14:textId="6ED3041E" w:rsidR="00723CE0" w:rsidRPr="0013383C" w:rsidRDefault="00723CE0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V </w:t>
      </w:r>
      <w:r w:rsidR="005C617E" w:rsidRPr="0013383C">
        <w:rPr>
          <w:lang w:val="sk-SK"/>
        </w:rPr>
        <w:t>podobnej</w:t>
      </w:r>
      <w:r w:rsidRPr="0013383C">
        <w:rPr>
          <w:lang w:val="sk-SK"/>
        </w:rPr>
        <w:t xml:space="preserve"> situácii žijú mnohé slovenské rodiny, ktoré si v prihraničných regiónoch Maďarska a Rakúska, v blízkosti hlavného mesta SR Bratislavy zakúpili rodinné domy</w:t>
      </w:r>
      <w:r w:rsidR="005C617E" w:rsidRPr="0013383C">
        <w:rPr>
          <w:lang w:val="sk-SK"/>
        </w:rPr>
        <w:t xml:space="preserve">, pričom denne dochádzajú do práce a deti do školských zariadení do Slovenskej republiky. V prípade v ktorom rozhodoval Ústavný súd </w:t>
      </w:r>
      <w:r w:rsidR="007C4E18" w:rsidRPr="0013383C">
        <w:rPr>
          <w:lang w:val="sk-SK"/>
        </w:rPr>
        <w:t>vo veci č. I. ÚS 304/2018</w:t>
      </w:r>
      <w:r w:rsidR="005C617E" w:rsidRPr="0013383C">
        <w:rPr>
          <w:lang w:val="sk-SK"/>
        </w:rPr>
        <w:t xml:space="preserve"> je zjavné že všeobecné súdy prihliadali i na ďalšie väzby rodiny k Rakúskej republike, najmä školská dochádzka detí a integrácia detí i rodiny v rakúskom prostredí. </w:t>
      </w:r>
      <w:r w:rsidR="00C35926" w:rsidRPr="0013383C">
        <w:rPr>
          <w:lang w:val="sk-SK"/>
        </w:rPr>
        <w:t xml:space="preserve">Rodičia boli podľa všetkého v Rakúsku tiež zamestnaní. </w:t>
      </w:r>
      <w:r w:rsidR="005C617E" w:rsidRPr="0013383C">
        <w:rPr>
          <w:lang w:val="sk-SK"/>
        </w:rPr>
        <w:t xml:space="preserve"> </w:t>
      </w:r>
    </w:p>
  </w:footnote>
  <w:footnote w:id="15">
    <w:p w14:paraId="32E8AB49" w14:textId="26BD1E81" w:rsidR="00E776A3" w:rsidRPr="0013383C" w:rsidRDefault="00E776A3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Uznesenie bolo publikované i v Zbierke </w:t>
      </w:r>
      <w:r w:rsidR="00016A0E" w:rsidRPr="0013383C">
        <w:rPr>
          <w:lang w:val="sk-SK"/>
        </w:rPr>
        <w:t xml:space="preserve">stanovísk Najvyššieho súdu a rozhodnutí súdov Slovenskej republiky č. </w:t>
      </w:r>
      <w:r w:rsidR="009D373A" w:rsidRPr="0013383C">
        <w:rPr>
          <w:lang w:val="sk-SK"/>
        </w:rPr>
        <w:t xml:space="preserve">9/2014, pod číslom 129: </w:t>
      </w:r>
      <w:hyperlink r:id="rId4" w:history="1">
        <w:r w:rsidR="009D373A" w:rsidRPr="0013383C">
          <w:rPr>
            <w:rStyle w:val="Hypertextovprepojenie"/>
            <w:lang w:val="sk-SK"/>
          </w:rPr>
          <w:t>https://www.nsud.sk/data/files/932.pdf</w:t>
        </w:r>
      </w:hyperlink>
      <w:r w:rsidR="009D373A" w:rsidRPr="0013383C">
        <w:rPr>
          <w:lang w:val="sk-SK"/>
        </w:rPr>
        <w:t xml:space="preserve"> </w:t>
      </w:r>
    </w:p>
  </w:footnote>
  <w:footnote w:id="16">
    <w:p w14:paraId="1803F96F" w14:textId="77777777" w:rsidR="00FB1862" w:rsidRPr="0013383C" w:rsidRDefault="00FB1862" w:rsidP="00FB1862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Ústavný súd sa odvolal na rozsudok Súdneho dvora ES vo veci C-66/08 </w:t>
      </w:r>
      <w:proofErr w:type="spellStart"/>
      <w:r w:rsidRPr="0013383C">
        <w:rPr>
          <w:i/>
          <w:lang w:val="sk-SK"/>
        </w:rPr>
        <w:t>Szymon</w:t>
      </w:r>
      <w:proofErr w:type="spellEnd"/>
      <w:r w:rsidRPr="0013383C">
        <w:rPr>
          <w:i/>
          <w:lang w:val="sk-SK"/>
        </w:rPr>
        <w:t xml:space="preserve"> </w:t>
      </w:r>
      <w:proofErr w:type="spellStart"/>
      <w:r w:rsidRPr="0013383C">
        <w:rPr>
          <w:i/>
          <w:lang w:val="sk-SK"/>
        </w:rPr>
        <w:t>Kozlowski</w:t>
      </w:r>
      <w:proofErr w:type="spellEnd"/>
      <w:r w:rsidRPr="0013383C">
        <w:rPr>
          <w:lang w:val="sk-SK"/>
        </w:rPr>
        <w:t xml:space="preserve">. </w:t>
      </w:r>
    </w:p>
  </w:footnote>
  <w:footnote w:id="17">
    <w:p w14:paraId="79041E65" w14:textId="391E5318" w:rsidR="00A26DAF" w:rsidRPr="0013383C" w:rsidRDefault="00A26DAF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Slovenský právny poriadok nepozná rozluku manželstva a rozhodovanie o takomto právnom inštitúte sa v judikatúre slovenských súdov ani nevyskytuje. </w:t>
      </w:r>
    </w:p>
  </w:footnote>
  <w:footnote w:id="18">
    <w:p w14:paraId="69C3FBA7" w14:textId="67D7ECDD" w:rsidR="001E7323" w:rsidRPr="0013383C" w:rsidRDefault="001E7323">
      <w:pPr>
        <w:pStyle w:val="Textpoznmkypodiarou"/>
        <w:rPr>
          <w:lang w:val="sk-SK"/>
        </w:rPr>
      </w:pPr>
      <w:r w:rsidRPr="0013383C">
        <w:rPr>
          <w:rStyle w:val="Odkaznapoznmkupodiarou"/>
          <w:lang w:val="sk-SK"/>
        </w:rPr>
        <w:footnoteRef/>
      </w:r>
      <w:r w:rsidRPr="0013383C">
        <w:rPr>
          <w:lang w:val="sk-SK"/>
        </w:rPr>
        <w:t xml:space="preserve"> Viď článok 10 Nariadenia (EÚ) 2019/1111 o právomoci a uznávaní a výkone rozhodnutí v manželských veciach a vo veciach rodičovských práv a povinností a o medzinárodných únosoch detí.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CEC8" w14:textId="61F31246" w:rsidR="00A902FE" w:rsidRPr="00B04DD3" w:rsidRDefault="00A902FE" w:rsidP="00A902FE">
    <w:pPr>
      <w:pStyle w:val="Hlavika"/>
      <w:rPr>
        <w:color w:val="4F81BD" w:themeColor="accent1"/>
        <w:lang w:val="en-US"/>
      </w:rPr>
    </w:pPr>
    <w:r w:rsidRPr="003F5D0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6A493ED9" wp14:editId="16FCFAB4">
          <wp:simplePos x="0" y="0"/>
          <wp:positionH relativeFrom="leftMargin">
            <wp:align>right</wp:align>
          </wp:positionH>
          <wp:positionV relativeFrom="paragraph">
            <wp:posOffset>-182880</wp:posOffset>
          </wp:positionV>
          <wp:extent cx="701675" cy="471170"/>
          <wp:effectExtent l="0" t="0" r="3175" b="5080"/>
          <wp:wrapTight wrapText="bothSides">
            <wp:wrapPolygon edited="0">
              <wp:start x="0" y="0"/>
              <wp:lineTo x="0" y="20960"/>
              <wp:lineTo x="21111" y="20960"/>
              <wp:lineTo x="21111" y="0"/>
              <wp:lineTo x="0" y="0"/>
            </wp:wrapPolygon>
          </wp:wrapTight>
          <wp:docPr id="1" name="Obraz 1" descr="Opis: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DD3">
      <w:rPr>
        <w:noProof/>
        <w:color w:val="4F81BD" w:themeColor="accent1"/>
        <w:lang w:val="sk-SK" w:eastAsia="sk-SK"/>
      </w:rPr>
      <w:drawing>
        <wp:anchor distT="0" distB="0" distL="114300" distR="114300" simplePos="0" relativeHeight="251660288" behindDoc="1" locked="0" layoutInCell="1" allowOverlap="1" wp14:anchorId="022A8623" wp14:editId="3468AFC7">
          <wp:simplePos x="0" y="0"/>
          <wp:positionH relativeFrom="margin">
            <wp:align>right</wp:align>
          </wp:positionH>
          <wp:positionV relativeFrom="paragraph">
            <wp:posOffset>-306493</wp:posOffset>
          </wp:positionV>
          <wp:extent cx="1058400" cy="684000"/>
          <wp:effectExtent l="0" t="0" r="8890" b="190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raf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DD3">
      <w:rPr>
        <w:color w:val="4F81BD" w:themeColor="accent1"/>
        <w:lang w:val="en-US"/>
      </w:rPr>
      <w:t>Project: 80078</w:t>
    </w:r>
    <w:r>
      <w:rPr>
        <w:color w:val="4F81BD" w:themeColor="accent1"/>
        <w:lang w:val="en-US"/>
      </w:rPr>
      <w:t>9</w:t>
    </w:r>
    <w:r w:rsidRPr="00B04DD3">
      <w:rPr>
        <w:color w:val="4F81BD" w:themeColor="accent1"/>
        <w:lang w:val="en-US"/>
      </w:rPr>
      <w:t>—CEPIL—JUST-JCOO-AG-2017</w:t>
    </w:r>
  </w:p>
  <w:p w14:paraId="281EC711" w14:textId="77777777" w:rsidR="00A902FE" w:rsidRDefault="00A902FE" w:rsidP="00A902FE">
    <w:pPr>
      <w:pStyle w:val="Hlavika"/>
      <w:rPr>
        <w:color w:val="4F81BD" w:themeColor="accent1"/>
        <w:lang w:val="en-US"/>
      </w:rPr>
    </w:pPr>
    <w:r w:rsidRPr="00B04DD3">
      <w:rPr>
        <w:color w:val="4F81BD" w:themeColor="accent1"/>
        <w:lang w:val="en-US"/>
      </w:rPr>
      <w:t>Type of Action: JUST-AG</w:t>
    </w:r>
  </w:p>
  <w:p w14:paraId="3FC7AD1E" w14:textId="77777777" w:rsidR="00A902FE" w:rsidRPr="00B04DD3" w:rsidRDefault="00A902FE" w:rsidP="00A902FE">
    <w:pPr>
      <w:pStyle w:val="Hlavika"/>
      <w:rPr>
        <w:color w:val="4F81BD" w:themeColor="accent1"/>
        <w:lang w:val="en-US"/>
      </w:rPr>
    </w:pPr>
    <w:r>
      <w:rPr>
        <w:color w:val="4F81BD" w:themeColor="accent1"/>
        <w:lang w:val="en-US"/>
      </w:rPr>
      <w:t xml:space="preserve">   </w:t>
    </w:r>
    <w:r w:rsidRPr="00BF7543">
      <w:rPr>
        <w:color w:val="4F81BD" w:themeColor="accent1"/>
        <w:lang w:val="en-US"/>
      </w:rPr>
      <w:t xml:space="preserve">The project </w:t>
    </w:r>
    <w:r>
      <w:rPr>
        <w:color w:val="4F81BD" w:themeColor="accent1"/>
        <w:lang w:val="en-US"/>
      </w:rPr>
      <w:t xml:space="preserve">is </w:t>
    </w:r>
    <w:r w:rsidRPr="00BF7543">
      <w:rPr>
        <w:color w:val="4F81BD" w:themeColor="accent1"/>
        <w:lang w:val="en-US"/>
      </w:rPr>
      <w:t>financed by the European Commission</w:t>
    </w:r>
    <w:r>
      <w:rPr>
        <w:color w:val="4F81BD" w:themeColor="accent1"/>
        <w:lang w:val="en-US"/>
      </w:rPr>
      <w:t xml:space="preserve"> under Grant Agreement 800789</w:t>
    </w:r>
  </w:p>
  <w:p w14:paraId="48CE861F" w14:textId="77777777" w:rsidR="00ED0883" w:rsidRDefault="00ED0883" w:rsidP="00A902FE">
    <w:pPr>
      <w:pStyle w:val="Hlavika"/>
    </w:pPr>
  </w:p>
  <w:p w14:paraId="35FC25E9" w14:textId="77777777" w:rsidR="00ED0883" w:rsidRDefault="00ED08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951"/>
    <w:multiLevelType w:val="hybridMultilevel"/>
    <w:tmpl w:val="F3906B6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6617C"/>
    <w:multiLevelType w:val="hybridMultilevel"/>
    <w:tmpl w:val="20A82CD2"/>
    <w:lvl w:ilvl="0" w:tplc="83526398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C455F"/>
    <w:multiLevelType w:val="hybridMultilevel"/>
    <w:tmpl w:val="270AF9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10701"/>
    <w:multiLevelType w:val="hybridMultilevel"/>
    <w:tmpl w:val="CE7C2A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E6CC0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1E5990"/>
    <w:multiLevelType w:val="hybridMultilevel"/>
    <w:tmpl w:val="E7FC73A4"/>
    <w:lvl w:ilvl="0" w:tplc="040E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5A0196F"/>
    <w:multiLevelType w:val="hybridMultilevel"/>
    <w:tmpl w:val="3732F920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0D7558"/>
    <w:multiLevelType w:val="hybridMultilevel"/>
    <w:tmpl w:val="1E448C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414CA"/>
    <w:multiLevelType w:val="hybridMultilevel"/>
    <w:tmpl w:val="FBFC868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A22F58"/>
    <w:multiLevelType w:val="hybridMultilevel"/>
    <w:tmpl w:val="919C7678"/>
    <w:lvl w:ilvl="0" w:tplc="040E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DC3A2C"/>
    <w:multiLevelType w:val="hybridMultilevel"/>
    <w:tmpl w:val="BCEE8C32"/>
    <w:lvl w:ilvl="0" w:tplc="040E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F87F87"/>
    <w:multiLevelType w:val="hybridMultilevel"/>
    <w:tmpl w:val="80829C5A"/>
    <w:lvl w:ilvl="0" w:tplc="040E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1001AE"/>
    <w:multiLevelType w:val="hybridMultilevel"/>
    <w:tmpl w:val="BA16817C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2341A"/>
    <w:multiLevelType w:val="hybridMultilevel"/>
    <w:tmpl w:val="B7744FB4"/>
    <w:lvl w:ilvl="0" w:tplc="7AD0FDAE">
      <w:start w:val="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282D9F"/>
    <w:multiLevelType w:val="hybridMultilevel"/>
    <w:tmpl w:val="BFE650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6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2E"/>
    <w:rsid w:val="00002423"/>
    <w:rsid w:val="000028B8"/>
    <w:rsid w:val="00004014"/>
    <w:rsid w:val="00004B3B"/>
    <w:rsid w:val="00004DA7"/>
    <w:rsid w:val="00016A0E"/>
    <w:rsid w:val="00022C22"/>
    <w:rsid w:val="0003331C"/>
    <w:rsid w:val="000850BD"/>
    <w:rsid w:val="000B07D2"/>
    <w:rsid w:val="000D2F61"/>
    <w:rsid w:val="000D37F3"/>
    <w:rsid w:val="000D4F45"/>
    <w:rsid w:val="000E3307"/>
    <w:rsid w:val="000F0879"/>
    <w:rsid w:val="00102564"/>
    <w:rsid w:val="00121450"/>
    <w:rsid w:val="0012294B"/>
    <w:rsid w:val="0013383C"/>
    <w:rsid w:val="00145A14"/>
    <w:rsid w:val="001540B4"/>
    <w:rsid w:val="00157F0C"/>
    <w:rsid w:val="00162B9F"/>
    <w:rsid w:val="00176D74"/>
    <w:rsid w:val="00183D3B"/>
    <w:rsid w:val="00194261"/>
    <w:rsid w:val="001A6AF4"/>
    <w:rsid w:val="001A7DD5"/>
    <w:rsid w:val="001B11FF"/>
    <w:rsid w:val="001C5CC9"/>
    <w:rsid w:val="001D052C"/>
    <w:rsid w:val="001D3305"/>
    <w:rsid w:val="001E05F1"/>
    <w:rsid w:val="001E6B6C"/>
    <w:rsid w:val="001E7323"/>
    <w:rsid w:val="001F528D"/>
    <w:rsid w:val="00201DE4"/>
    <w:rsid w:val="00203C8F"/>
    <w:rsid w:val="00212952"/>
    <w:rsid w:val="00214789"/>
    <w:rsid w:val="00240D80"/>
    <w:rsid w:val="002422BC"/>
    <w:rsid w:val="00251C9A"/>
    <w:rsid w:val="002566A4"/>
    <w:rsid w:val="0026303E"/>
    <w:rsid w:val="00265B54"/>
    <w:rsid w:val="002B08D9"/>
    <w:rsid w:val="002B6551"/>
    <w:rsid w:val="002C0842"/>
    <w:rsid w:val="002C23B3"/>
    <w:rsid w:val="002C53F0"/>
    <w:rsid w:val="002D12B9"/>
    <w:rsid w:val="002E1490"/>
    <w:rsid w:val="002E74A4"/>
    <w:rsid w:val="0032149D"/>
    <w:rsid w:val="0032458D"/>
    <w:rsid w:val="00332D03"/>
    <w:rsid w:val="003346CA"/>
    <w:rsid w:val="0033529C"/>
    <w:rsid w:val="00345681"/>
    <w:rsid w:val="00346273"/>
    <w:rsid w:val="003516B4"/>
    <w:rsid w:val="00352F83"/>
    <w:rsid w:val="00370D4D"/>
    <w:rsid w:val="00376454"/>
    <w:rsid w:val="00382636"/>
    <w:rsid w:val="003851C5"/>
    <w:rsid w:val="0039666D"/>
    <w:rsid w:val="003A4DD6"/>
    <w:rsid w:val="003C6DDF"/>
    <w:rsid w:val="003D3D8A"/>
    <w:rsid w:val="003D6AFB"/>
    <w:rsid w:val="003F1045"/>
    <w:rsid w:val="004109C5"/>
    <w:rsid w:val="004143CA"/>
    <w:rsid w:val="00415867"/>
    <w:rsid w:val="0042558D"/>
    <w:rsid w:val="00426F3A"/>
    <w:rsid w:val="004373D7"/>
    <w:rsid w:val="00440B37"/>
    <w:rsid w:val="00444D1C"/>
    <w:rsid w:val="00464F1E"/>
    <w:rsid w:val="00467A92"/>
    <w:rsid w:val="00470B15"/>
    <w:rsid w:val="004801C6"/>
    <w:rsid w:val="00483520"/>
    <w:rsid w:val="004A0BC5"/>
    <w:rsid w:val="004A4EC4"/>
    <w:rsid w:val="004A7CA3"/>
    <w:rsid w:val="004B1E03"/>
    <w:rsid w:val="004B50D0"/>
    <w:rsid w:val="004C001E"/>
    <w:rsid w:val="004C42B3"/>
    <w:rsid w:val="004C42FB"/>
    <w:rsid w:val="004D3FF9"/>
    <w:rsid w:val="004E32BE"/>
    <w:rsid w:val="004F3D4B"/>
    <w:rsid w:val="005129BB"/>
    <w:rsid w:val="005463EA"/>
    <w:rsid w:val="005529B2"/>
    <w:rsid w:val="00566FEE"/>
    <w:rsid w:val="005705B9"/>
    <w:rsid w:val="00573EA6"/>
    <w:rsid w:val="0058068C"/>
    <w:rsid w:val="005833B6"/>
    <w:rsid w:val="00593112"/>
    <w:rsid w:val="00597C2F"/>
    <w:rsid w:val="00597F06"/>
    <w:rsid w:val="005B57C4"/>
    <w:rsid w:val="005C617E"/>
    <w:rsid w:val="005C71F1"/>
    <w:rsid w:val="00613619"/>
    <w:rsid w:val="006150ED"/>
    <w:rsid w:val="00645CDE"/>
    <w:rsid w:val="006622A0"/>
    <w:rsid w:val="00670CAC"/>
    <w:rsid w:val="006716FB"/>
    <w:rsid w:val="00687BE3"/>
    <w:rsid w:val="006A0D46"/>
    <w:rsid w:val="006B2609"/>
    <w:rsid w:val="006B3C55"/>
    <w:rsid w:val="006B54B2"/>
    <w:rsid w:val="006C4AE7"/>
    <w:rsid w:val="006E0983"/>
    <w:rsid w:val="006E0C50"/>
    <w:rsid w:val="006F01EC"/>
    <w:rsid w:val="006F0A6F"/>
    <w:rsid w:val="0071374E"/>
    <w:rsid w:val="007139F8"/>
    <w:rsid w:val="0071712D"/>
    <w:rsid w:val="00721D1E"/>
    <w:rsid w:val="00722C7A"/>
    <w:rsid w:val="00723CE0"/>
    <w:rsid w:val="00724C88"/>
    <w:rsid w:val="007721D0"/>
    <w:rsid w:val="00784CBC"/>
    <w:rsid w:val="007877B5"/>
    <w:rsid w:val="007942B3"/>
    <w:rsid w:val="0079578F"/>
    <w:rsid w:val="007A1D48"/>
    <w:rsid w:val="007B171A"/>
    <w:rsid w:val="007B27A6"/>
    <w:rsid w:val="007B56D5"/>
    <w:rsid w:val="007B6EA5"/>
    <w:rsid w:val="007C381D"/>
    <w:rsid w:val="007C4E18"/>
    <w:rsid w:val="007D313D"/>
    <w:rsid w:val="007D6521"/>
    <w:rsid w:val="007E22DB"/>
    <w:rsid w:val="007E5AD1"/>
    <w:rsid w:val="007F733B"/>
    <w:rsid w:val="00800AF6"/>
    <w:rsid w:val="0080242A"/>
    <w:rsid w:val="00805C7C"/>
    <w:rsid w:val="008111B2"/>
    <w:rsid w:val="00814197"/>
    <w:rsid w:val="00814FA7"/>
    <w:rsid w:val="00824E6A"/>
    <w:rsid w:val="00826FAB"/>
    <w:rsid w:val="00827C4D"/>
    <w:rsid w:val="00831655"/>
    <w:rsid w:val="00832DB0"/>
    <w:rsid w:val="00835F2E"/>
    <w:rsid w:val="00845BDC"/>
    <w:rsid w:val="00867197"/>
    <w:rsid w:val="00882F56"/>
    <w:rsid w:val="008B233B"/>
    <w:rsid w:val="008C1154"/>
    <w:rsid w:val="008C1185"/>
    <w:rsid w:val="008C1CB1"/>
    <w:rsid w:val="008C2949"/>
    <w:rsid w:val="008D1FC2"/>
    <w:rsid w:val="008D33DA"/>
    <w:rsid w:val="008D48A5"/>
    <w:rsid w:val="008D5564"/>
    <w:rsid w:val="00900521"/>
    <w:rsid w:val="009024C6"/>
    <w:rsid w:val="00916E67"/>
    <w:rsid w:val="00917E46"/>
    <w:rsid w:val="00930DF9"/>
    <w:rsid w:val="00931DE0"/>
    <w:rsid w:val="009569A9"/>
    <w:rsid w:val="00963537"/>
    <w:rsid w:val="00991FAC"/>
    <w:rsid w:val="00996CAE"/>
    <w:rsid w:val="009A767C"/>
    <w:rsid w:val="009B39E6"/>
    <w:rsid w:val="009D373A"/>
    <w:rsid w:val="009E2A67"/>
    <w:rsid w:val="009E2A8A"/>
    <w:rsid w:val="009E2D56"/>
    <w:rsid w:val="00A05F99"/>
    <w:rsid w:val="00A10F0E"/>
    <w:rsid w:val="00A2563A"/>
    <w:rsid w:val="00A26DAF"/>
    <w:rsid w:val="00A300C5"/>
    <w:rsid w:val="00A5532C"/>
    <w:rsid w:val="00A63550"/>
    <w:rsid w:val="00A635A2"/>
    <w:rsid w:val="00A7083D"/>
    <w:rsid w:val="00A82CD2"/>
    <w:rsid w:val="00A90147"/>
    <w:rsid w:val="00A902FE"/>
    <w:rsid w:val="00A96E5E"/>
    <w:rsid w:val="00AC5CF1"/>
    <w:rsid w:val="00AD2949"/>
    <w:rsid w:val="00AE5137"/>
    <w:rsid w:val="00AE77F5"/>
    <w:rsid w:val="00B00085"/>
    <w:rsid w:val="00B1766C"/>
    <w:rsid w:val="00B17779"/>
    <w:rsid w:val="00B24CB4"/>
    <w:rsid w:val="00B37ED1"/>
    <w:rsid w:val="00B42AE1"/>
    <w:rsid w:val="00B51026"/>
    <w:rsid w:val="00B556E0"/>
    <w:rsid w:val="00B56691"/>
    <w:rsid w:val="00B57723"/>
    <w:rsid w:val="00B876DB"/>
    <w:rsid w:val="00B91457"/>
    <w:rsid w:val="00BA19FA"/>
    <w:rsid w:val="00BD39E2"/>
    <w:rsid w:val="00BD3BA3"/>
    <w:rsid w:val="00BE7123"/>
    <w:rsid w:val="00BF4C85"/>
    <w:rsid w:val="00C02969"/>
    <w:rsid w:val="00C145C8"/>
    <w:rsid w:val="00C3309E"/>
    <w:rsid w:val="00C35926"/>
    <w:rsid w:val="00C36329"/>
    <w:rsid w:val="00C36543"/>
    <w:rsid w:val="00C371FE"/>
    <w:rsid w:val="00C377EF"/>
    <w:rsid w:val="00C43C35"/>
    <w:rsid w:val="00C50199"/>
    <w:rsid w:val="00C5590E"/>
    <w:rsid w:val="00C655E7"/>
    <w:rsid w:val="00C66CA3"/>
    <w:rsid w:val="00C66EFB"/>
    <w:rsid w:val="00C8073D"/>
    <w:rsid w:val="00C867EA"/>
    <w:rsid w:val="00C93701"/>
    <w:rsid w:val="00C96E67"/>
    <w:rsid w:val="00CB370A"/>
    <w:rsid w:val="00CC265D"/>
    <w:rsid w:val="00CC7279"/>
    <w:rsid w:val="00CC7332"/>
    <w:rsid w:val="00CD3AB2"/>
    <w:rsid w:val="00CD6E0A"/>
    <w:rsid w:val="00CE0CCB"/>
    <w:rsid w:val="00CE161C"/>
    <w:rsid w:val="00CE1F9C"/>
    <w:rsid w:val="00CE62CC"/>
    <w:rsid w:val="00CF199F"/>
    <w:rsid w:val="00CF584F"/>
    <w:rsid w:val="00D002EF"/>
    <w:rsid w:val="00D1059D"/>
    <w:rsid w:val="00D15480"/>
    <w:rsid w:val="00D36D72"/>
    <w:rsid w:val="00D43CF2"/>
    <w:rsid w:val="00D54CE2"/>
    <w:rsid w:val="00D606D5"/>
    <w:rsid w:val="00D6341D"/>
    <w:rsid w:val="00D769D1"/>
    <w:rsid w:val="00D84230"/>
    <w:rsid w:val="00D850EE"/>
    <w:rsid w:val="00D93B29"/>
    <w:rsid w:val="00DA0A77"/>
    <w:rsid w:val="00DA74FE"/>
    <w:rsid w:val="00DB725A"/>
    <w:rsid w:val="00DB7564"/>
    <w:rsid w:val="00DC2929"/>
    <w:rsid w:val="00DF42AF"/>
    <w:rsid w:val="00DF60FF"/>
    <w:rsid w:val="00E03C58"/>
    <w:rsid w:val="00E24E3E"/>
    <w:rsid w:val="00E26815"/>
    <w:rsid w:val="00E3232E"/>
    <w:rsid w:val="00E32E76"/>
    <w:rsid w:val="00E45E2F"/>
    <w:rsid w:val="00E473CA"/>
    <w:rsid w:val="00E53F2D"/>
    <w:rsid w:val="00E5528F"/>
    <w:rsid w:val="00E72403"/>
    <w:rsid w:val="00E776A3"/>
    <w:rsid w:val="00E8590A"/>
    <w:rsid w:val="00E9159C"/>
    <w:rsid w:val="00EA7C0F"/>
    <w:rsid w:val="00EB1841"/>
    <w:rsid w:val="00EB1D2A"/>
    <w:rsid w:val="00EC24A8"/>
    <w:rsid w:val="00EC4376"/>
    <w:rsid w:val="00ED0883"/>
    <w:rsid w:val="00ED3413"/>
    <w:rsid w:val="00ED7CAC"/>
    <w:rsid w:val="00EF5E39"/>
    <w:rsid w:val="00F04E7E"/>
    <w:rsid w:val="00F106E6"/>
    <w:rsid w:val="00F14740"/>
    <w:rsid w:val="00F469FC"/>
    <w:rsid w:val="00F520DB"/>
    <w:rsid w:val="00F54601"/>
    <w:rsid w:val="00F5681B"/>
    <w:rsid w:val="00F56E6D"/>
    <w:rsid w:val="00F6060E"/>
    <w:rsid w:val="00F64A58"/>
    <w:rsid w:val="00F65128"/>
    <w:rsid w:val="00F737D2"/>
    <w:rsid w:val="00F74501"/>
    <w:rsid w:val="00F81FCC"/>
    <w:rsid w:val="00F866AA"/>
    <w:rsid w:val="00F8690A"/>
    <w:rsid w:val="00F967F8"/>
    <w:rsid w:val="00FB1862"/>
    <w:rsid w:val="00FC18F5"/>
    <w:rsid w:val="00FD3E31"/>
    <w:rsid w:val="00FD5C97"/>
    <w:rsid w:val="00FF0BB2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A758"/>
  <w15:docId w15:val="{92CCC0CB-F4B7-4792-90BC-369B60B1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490"/>
  </w:style>
  <w:style w:type="paragraph" w:styleId="Nadpis1">
    <w:name w:val="heading 1"/>
    <w:basedOn w:val="Normlny"/>
    <w:next w:val="Normlny"/>
    <w:link w:val="Nadpis1Char"/>
    <w:uiPriority w:val="9"/>
    <w:qFormat/>
    <w:rsid w:val="00A90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1490"/>
    <w:pPr>
      <w:ind w:left="720"/>
      <w:contextualSpacing/>
    </w:pPr>
    <w:rPr>
      <w:rFonts w:eastAsiaTheme="minorEastAsia"/>
      <w:lang w:eastAsia="en-GB"/>
    </w:rPr>
  </w:style>
  <w:style w:type="paragraph" w:styleId="Hlavika">
    <w:name w:val="header"/>
    <w:basedOn w:val="Normlny"/>
    <w:link w:val="HlavikaChar"/>
    <w:uiPriority w:val="99"/>
    <w:unhideWhenUsed/>
    <w:rsid w:val="0037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0D4D"/>
  </w:style>
  <w:style w:type="paragraph" w:styleId="Pta">
    <w:name w:val="footer"/>
    <w:basedOn w:val="Normlny"/>
    <w:link w:val="PtaChar"/>
    <w:uiPriority w:val="99"/>
    <w:unhideWhenUsed/>
    <w:rsid w:val="0037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0D4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835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835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8352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E05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E05F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E05F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E05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E05F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05F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90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A902FE"/>
    <w:pPr>
      <w:spacing w:line="259" w:lineRule="auto"/>
      <w:outlineLvl w:val="9"/>
    </w:pPr>
    <w:rPr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A902FE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A902FE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10F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F106E6"/>
    <w:rPr>
      <w:i/>
      <w:iCs/>
    </w:rPr>
  </w:style>
  <w:style w:type="table" w:styleId="Mriekatabuky">
    <w:name w:val="Table Grid"/>
    <w:basedOn w:val="Normlnatabuka"/>
    <w:uiPriority w:val="59"/>
    <w:rsid w:val="00C6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2422BC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6C4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cadat.com" TargetMode="External"/><Relationship Id="rId2" Type="http://schemas.openxmlformats.org/officeDocument/2006/relationships/hyperlink" Target="https://www.ustavnysud.sk/vyhladavanie-rozhodnuti" TargetMode="External"/><Relationship Id="rId1" Type="http://schemas.openxmlformats.org/officeDocument/2006/relationships/hyperlink" Target="https://www.employment.gov.sk/sk/vybor-deti-mladez/" TargetMode="External"/><Relationship Id="rId4" Type="http://schemas.openxmlformats.org/officeDocument/2006/relationships/hyperlink" Target="https://www.nsud.sk/data/files/93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CBCB1-81A5-4E10-BCAD-33A60067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5889</Words>
  <Characters>33569</Characters>
  <Application>Microsoft Office Word</Application>
  <DocSecurity>0</DocSecurity>
  <Lines>279</Lines>
  <Paragraphs>78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Aberdeen</Company>
  <LinksUpToDate>false</LinksUpToDate>
  <CharactersWithSpaces>39380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</dc:creator>
  <cp:lastModifiedBy>admin</cp:lastModifiedBy>
  <cp:revision>3</cp:revision>
  <cp:lastPrinted>2021-01-21T14:02:00Z</cp:lastPrinted>
  <dcterms:created xsi:type="dcterms:W3CDTF">2021-03-04T16:30:00Z</dcterms:created>
  <dcterms:modified xsi:type="dcterms:W3CDTF">2021-03-04T16:31:00Z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